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0A865" w14:textId="2924EF33" w:rsidR="009F2673" w:rsidRDefault="00791834">
      <w:pPr>
        <w:pStyle w:val="BodyText"/>
        <w:rPr>
          <w:rFonts w:ascii="Times New Roman"/>
        </w:rPr>
      </w:pPr>
      <w:r>
        <w:rPr>
          <w:noProof/>
          <w:lang w:val="en-MY" w:eastAsia="en-MY"/>
        </w:rPr>
        <w:drawing>
          <wp:anchor distT="0" distB="0" distL="0" distR="0" simplePos="0" relativeHeight="487554048" behindDoc="1" locked="0" layoutInCell="1" allowOverlap="1" wp14:anchorId="336F7216" wp14:editId="5578789A">
            <wp:simplePos x="0" y="0"/>
            <wp:positionH relativeFrom="page">
              <wp:posOffset>1905</wp:posOffset>
            </wp:positionH>
            <wp:positionV relativeFrom="page">
              <wp:posOffset>588441</wp:posOffset>
            </wp:positionV>
            <wp:extent cx="7557770" cy="98877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57770" cy="9887722"/>
                    </a:xfrm>
                    <a:prstGeom prst="rect">
                      <a:avLst/>
                    </a:prstGeom>
                  </pic:spPr>
                </pic:pic>
              </a:graphicData>
            </a:graphic>
          </wp:anchor>
        </w:drawing>
      </w:r>
    </w:p>
    <w:p w14:paraId="34891BC2" w14:textId="77777777" w:rsidR="009F2673" w:rsidRDefault="009F2673">
      <w:pPr>
        <w:pStyle w:val="BodyText"/>
        <w:rPr>
          <w:rFonts w:ascii="Times New Roman"/>
        </w:rPr>
      </w:pPr>
    </w:p>
    <w:p w14:paraId="0AFABF11" w14:textId="77777777" w:rsidR="009F2673" w:rsidRDefault="009F2673">
      <w:pPr>
        <w:pStyle w:val="BodyText"/>
        <w:rPr>
          <w:rFonts w:ascii="Times New Roman"/>
        </w:rPr>
      </w:pPr>
    </w:p>
    <w:p w14:paraId="50809DA1" w14:textId="77777777" w:rsidR="009F2673" w:rsidRDefault="009F2673">
      <w:pPr>
        <w:pStyle w:val="BodyText"/>
        <w:rPr>
          <w:rFonts w:ascii="Times New Roman"/>
        </w:rPr>
      </w:pPr>
    </w:p>
    <w:p w14:paraId="712C1B01" w14:textId="77777777" w:rsidR="009F2673" w:rsidRDefault="009F2673">
      <w:pPr>
        <w:pStyle w:val="BodyText"/>
        <w:rPr>
          <w:rFonts w:ascii="Times New Roman"/>
        </w:rPr>
      </w:pPr>
    </w:p>
    <w:p w14:paraId="4414D652" w14:textId="77777777" w:rsidR="009F2673" w:rsidRDefault="009F2673">
      <w:pPr>
        <w:pStyle w:val="BodyText"/>
        <w:rPr>
          <w:rFonts w:ascii="Times New Roman"/>
        </w:rPr>
      </w:pPr>
    </w:p>
    <w:p w14:paraId="6E6EE36D" w14:textId="77777777" w:rsidR="009F2673" w:rsidRDefault="009F2673">
      <w:pPr>
        <w:pStyle w:val="BodyText"/>
        <w:rPr>
          <w:rFonts w:ascii="Times New Roman"/>
        </w:rPr>
      </w:pPr>
    </w:p>
    <w:p w14:paraId="2F17AC0F" w14:textId="77777777" w:rsidR="009F2673" w:rsidRDefault="009F2673">
      <w:pPr>
        <w:pStyle w:val="BodyText"/>
        <w:rPr>
          <w:rFonts w:ascii="Times New Roman"/>
        </w:rPr>
      </w:pPr>
    </w:p>
    <w:p w14:paraId="3A307ECF" w14:textId="77777777" w:rsidR="009F2673" w:rsidRDefault="009F2673">
      <w:pPr>
        <w:pStyle w:val="BodyText"/>
        <w:rPr>
          <w:rFonts w:ascii="Times New Roman"/>
        </w:rPr>
      </w:pPr>
    </w:p>
    <w:tbl>
      <w:tblPr>
        <w:tblpPr w:leftFromText="180" w:rightFromText="180" w:vertAnchor="text" w:horzAnchor="margin" w:tblpY="192"/>
        <w:tblW w:w="0" w:type="auto"/>
        <w:tblLayout w:type="fixed"/>
        <w:tblCellMar>
          <w:left w:w="0" w:type="dxa"/>
          <w:right w:w="0" w:type="dxa"/>
        </w:tblCellMar>
        <w:tblLook w:val="01E0" w:firstRow="1" w:lastRow="1" w:firstColumn="1" w:lastColumn="1" w:noHBand="0" w:noVBand="0"/>
      </w:tblPr>
      <w:tblGrid>
        <w:gridCol w:w="10017"/>
      </w:tblGrid>
      <w:tr w:rsidR="00CD5757" w14:paraId="7E8539BE" w14:textId="77777777" w:rsidTr="00CD5757">
        <w:trPr>
          <w:trHeight w:val="2322"/>
        </w:trPr>
        <w:tc>
          <w:tcPr>
            <w:tcW w:w="10017" w:type="dxa"/>
            <w:tcBorders>
              <w:top w:val="single" w:sz="4" w:space="0" w:color="808080"/>
            </w:tcBorders>
          </w:tcPr>
          <w:p w14:paraId="7D22B7D2" w14:textId="77777777" w:rsidR="00CD5757" w:rsidRDefault="00CD5757" w:rsidP="00CD5757">
            <w:pPr>
              <w:pStyle w:val="TableParagraph"/>
              <w:spacing w:before="18"/>
              <w:rPr>
                <w:b/>
                <w:sz w:val="28"/>
              </w:rPr>
            </w:pPr>
            <w:r>
              <w:rPr>
                <w:b/>
                <w:color w:val="1F487C"/>
                <w:sz w:val="28"/>
              </w:rPr>
              <w:t>RATNAWATI OSMAN</w:t>
            </w:r>
          </w:p>
          <w:p w14:paraId="37F2F3F1" w14:textId="77777777" w:rsidR="00CD5757" w:rsidRDefault="00CD5757" w:rsidP="00CD5757">
            <w:pPr>
              <w:pStyle w:val="TableParagraph"/>
              <w:spacing w:before="41" w:line="283" w:lineRule="auto"/>
              <w:ind w:right="6302"/>
              <w:rPr>
                <w:sz w:val="20"/>
              </w:rPr>
            </w:pPr>
            <w:r>
              <w:rPr>
                <w:sz w:val="20"/>
              </w:rPr>
              <w:t>Vice President, FINPRO Healthcare Marsh Specialty</w:t>
            </w:r>
          </w:p>
        </w:tc>
      </w:tr>
      <w:tr w:rsidR="00CD5757" w14:paraId="4AC25176" w14:textId="77777777" w:rsidTr="00CD5757">
        <w:trPr>
          <w:trHeight w:val="2542"/>
        </w:trPr>
        <w:tc>
          <w:tcPr>
            <w:tcW w:w="10017" w:type="dxa"/>
          </w:tcPr>
          <w:p w14:paraId="58051C04" w14:textId="77777777" w:rsidR="00CD5757" w:rsidRDefault="00CD5757" w:rsidP="00CD5757">
            <w:pPr>
              <w:pStyle w:val="TableParagraph"/>
              <w:spacing w:before="99"/>
              <w:jc w:val="both"/>
              <w:rPr>
                <w:b/>
                <w:sz w:val="20"/>
              </w:rPr>
            </w:pPr>
            <w:r>
              <w:rPr>
                <w:b/>
                <w:sz w:val="20"/>
              </w:rPr>
              <w:t>CURRENT RESPONSIBILITIES</w:t>
            </w:r>
          </w:p>
          <w:p w14:paraId="5710B82B" w14:textId="77777777" w:rsidR="00CD5757" w:rsidRDefault="00CD5757" w:rsidP="00CD5757">
            <w:pPr>
              <w:pStyle w:val="TableParagraph"/>
              <w:spacing w:before="3"/>
              <w:rPr>
                <w:rFonts w:ascii="Times New Roman"/>
                <w:sz w:val="24"/>
              </w:rPr>
            </w:pPr>
          </w:p>
          <w:p w14:paraId="377626FC" w14:textId="77777777" w:rsidR="00CD5757" w:rsidRDefault="00CD5757" w:rsidP="00CD5757">
            <w:pPr>
              <w:pStyle w:val="TableParagraph"/>
              <w:spacing w:line="261" w:lineRule="auto"/>
              <w:ind w:right="2003"/>
              <w:jc w:val="both"/>
              <w:rPr>
                <w:sz w:val="20"/>
              </w:rPr>
            </w:pPr>
            <w:proofErr w:type="spellStart"/>
            <w:r>
              <w:rPr>
                <w:sz w:val="20"/>
              </w:rPr>
              <w:t>Ratna</w:t>
            </w:r>
            <w:proofErr w:type="spellEnd"/>
            <w:r>
              <w:rPr>
                <w:sz w:val="20"/>
              </w:rPr>
              <w:t xml:space="preserve"> is currently managing the MEDEFEND Medical Indemnity Scheme that includes insurance placement, negotiation on policy terms and client/carrier relationship for the Scheme. She acts as a key contact for all the stakeholders for the Scheme in Malaysia; with regular liaison with the Ministry of Health, the Malaysian Medical Council, the Malaysian Medical Association (MMA), the Malaysian Dental Association (MDA), doctors &amp; dentists, solicitors and</w:t>
            </w:r>
            <w:r>
              <w:rPr>
                <w:spacing w:val="-3"/>
                <w:sz w:val="20"/>
              </w:rPr>
              <w:t xml:space="preserve"> </w:t>
            </w:r>
            <w:r>
              <w:rPr>
                <w:sz w:val="20"/>
              </w:rPr>
              <w:t>insurers.</w:t>
            </w:r>
          </w:p>
        </w:tc>
      </w:tr>
      <w:tr w:rsidR="00CD5757" w14:paraId="61534660" w14:textId="77777777" w:rsidTr="00CD5757">
        <w:trPr>
          <w:trHeight w:val="866"/>
        </w:trPr>
        <w:tc>
          <w:tcPr>
            <w:tcW w:w="10017" w:type="dxa"/>
          </w:tcPr>
          <w:p w14:paraId="1BBBF363" w14:textId="77777777" w:rsidR="00CD5757" w:rsidRDefault="00CD5757" w:rsidP="00CD5757">
            <w:pPr>
              <w:pStyle w:val="TableParagraph"/>
              <w:rPr>
                <w:rFonts w:ascii="Times New Roman"/>
              </w:rPr>
            </w:pPr>
          </w:p>
          <w:p w14:paraId="1474D670" w14:textId="77777777" w:rsidR="00CD5757" w:rsidRDefault="00CD5757" w:rsidP="00CD5757">
            <w:pPr>
              <w:pStyle w:val="TableParagraph"/>
              <w:spacing w:before="196"/>
              <w:rPr>
                <w:b/>
                <w:sz w:val="20"/>
              </w:rPr>
            </w:pPr>
            <w:r>
              <w:rPr>
                <w:b/>
                <w:sz w:val="20"/>
              </w:rPr>
              <w:t>EXPERIENCE</w:t>
            </w:r>
          </w:p>
        </w:tc>
      </w:tr>
      <w:tr w:rsidR="00CD5757" w14:paraId="1456D223" w14:textId="77777777" w:rsidTr="00CD5757">
        <w:trPr>
          <w:trHeight w:val="3567"/>
        </w:trPr>
        <w:tc>
          <w:tcPr>
            <w:tcW w:w="10017" w:type="dxa"/>
          </w:tcPr>
          <w:p w14:paraId="52BFB9D9" w14:textId="77777777" w:rsidR="00CD5757" w:rsidRDefault="00CD5757" w:rsidP="00CD5757">
            <w:pPr>
              <w:pStyle w:val="TableParagraph"/>
              <w:spacing w:before="180" w:line="271" w:lineRule="auto"/>
              <w:ind w:right="2000"/>
              <w:jc w:val="both"/>
              <w:rPr>
                <w:sz w:val="20"/>
              </w:rPr>
            </w:pPr>
            <w:proofErr w:type="spellStart"/>
            <w:r>
              <w:rPr>
                <w:sz w:val="20"/>
              </w:rPr>
              <w:t>Ratna</w:t>
            </w:r>
            <w:proofErr w:type="spellEnd"/>
            <w:r>
              <w:rPr>
                <w:sz w:val="20"/>
              </w:rPr>
              <w:t xml:space="preserve"> was managing the Malaysian Bar’s Mandatory Professional Indemnity Scheme from 2003 for 4 years overseeing the full transaction of the </w:t>
            </w:r>
            <w:proofErr w:type="spellStart"/>
            <w:r>
              <w:rPr>
                <w:sz w:val="20"/>
              </w:rPr>
              <w:t>MBar</w:t>
            </w:r>
            <w:proofErr w:type="spellEnd"/>
            <w:r>
              <w:rPr>
                <w:sz w:val="20"/>
              </w:rPr>
              <w:t xml:space="preserve"> Scheme. In 2009, she </w:t>
            </w:r>
            <w:proofErr w:type="gramStart"/>
            <w:r>
              <w:rPr>
                <w:sz w:val="20"/>
              </w:rPr>
              <w:t>joined  a</w:t>
            </w:r>
            <w:proofErr w:type="gramEnd"/>
            <w:r>
              <w:rPr>
                <w:sz w:val="20"/>
              </w:rPr>
              <w:t xml:space="preserve"> non-government organization leading advocacy and law reform specialization in Family Law and any discriminatory policies; in human rights issues - both in Malaysia &amp; International</w:t>
            </w:r>
            <w:r>
              <w:rPr>
                <w:spacing w:val="-3"/>
                <w:sz w:val="20"/>
              </w:rPr>
              <w:t xml:space="preserve"> </w:t>
            </w:r>
            <w:r>
              <w:rPr>
                <w:sz w:val="20"/>
              </w:rPr>
              <w:t>arena.</w:t>
            </w:r>
          </w:p>
          <w:p w14:paraId="2049A608" w14:textId="77777777" w:rsidR="00CD5757" w:rsidRDefault="00CD5757" w:rsidP="00CD5757">
            <w:pPr>
              <w:pStyle w:val="TableParagraph"/>
              <w:spacing w:before="5"/>
              <w:rPr>
                <w:rFonts w:ascii="Times New Roman"/>
                <w:sz w:val="21"/>
              </w:rPr>
            </w:pPr>
          </w:p>
          <w:p w14:paraId="44733F79" w14:textId="77777777" w:rsidR="00CD5757" w:rsidRDefault="00CD5757" w:rsidP="00CD5757">
            <w:pPr>
              <w:pStyle w:val="TableParagraph"/>
              <w:spacing w:line="261" w:lineRule="auto"/>
              <w:ind w:right="2003"/>
              <w:jc w:val="both"/>
              <w:rPr>
                <w:sz w:val="20"/>
              </w:rPr>
            </w:pPr>
            <w:r>
              <w:rPr>
                <w:sz w:val="20"/>
              </w:rPr>
              <w:t xml:space="preserve">She rejoined Jardine Lloyd Thompson in 2016 and was tasked to manage the MEDEFEND Indemnity Scheme which is endorsed by the MMA and the MDA. In addition to managing the placement of the Scheme, </w:t>
            </w:r>
            <w:proofErr w:type="spellStart"/>
            <w:r>
              <w:rPr>
                <w:sz w:val="20"/>
              </w:rPr>
              <w:t>Ratna</w:t>
            </w:r>
            <w:proofErr w:type="spellEnd"/>
            <w:r>
              <w:rPr>
                <w:sz w:val="20"/>
              </w:rPr>
              <w:t xml:space="preserve"> also conducts talks at hospitals and clinics relating to indemnity coverage for doctors and dentists, and for MEDEFEND Risk Management training series for the medical profession. She continues to manage the Scheme after the JLT &amp; Marsh integration in 2020 as part of the Marsh Specialty</w:t>
            </w:r>
            <w:r>
              <w:rPr>
                <w:spacing w:val="-15"/>
                <w:sz w:val="20"/>
              </w:rPr>
              <w:t xml:space="preserve"> </w:t>
            </w:r>
            <w:r>
              <w:rPr>
                <w:sz w:val="20"/>
              </w:rPr>
              <w:t>team.</w:t>
            </w:r>
          </w:p>
        </w:tc>
      </w:tr>
      <w:tr w:rsidR="00CD5757" w14:paraId="1EB20352" w14:textId="77777777" w:rsidTr="00CD5757">
        <w:trPr>
          <w:trHeight w:val="582"/>
        </w:trPr>
        <w:tc>
          <w:tcPr>
            <w:tcW w:w="10017" w:type="dxa"/>
          </w:tcPr>
          <w:p w14:paraId="61C83FA3" w14:textId="77777777" w:rsidR="00CD5757" w:rsidRDefault="00CD5757" w:rsidP="00CD5757">
            <w:pPr>
              <w:pStyle w:val="TableParagraph"/>
              <w:spacing w:before="8"/>
              <w:rPr>
                <w:rFonts w:ascii="Times New Roman"/>
                <w:sz w:val="30"/>
              </w:rPr>
            </w:pPr>
          </w:p>
          <w:p w14:paraId="5A3E2F86" w14:textId="77777777" w:rsidR="00CD5757" w:rsidRDefault="00CD5757" w:rsidP="00CD5757">
            <w:pPr>
              <w:pStyle w:val="TableParagraph"/>
              <w:spacing w:line="210" w:lineRule="exact"/>
              <w:rPr>
                <w:b/>
                <w:sz w:val="20"/>
              </w:rPr>
            </w:pPr>
            <w:r>
              <w:rPr>
                <w:b/>
                <w:sz w:val="20"/>
              </w:rPr>
              <w:t>EDUCATION</w:t>
            </w:r>
          </w:p>
        </w:tc>
      </w:tr>
    </w:tbl>
    <w:p w14:paraId="717DB05A" w14:textId="77777777" w:rsidR="009F2673" w:rsidRDefault="009F2673">
      <w:pPr>
        <w:pStyle w:val="BodyText"/>
        <w:spacing w:before="5"/>
        <w:rPr>
          <w:rFonts w:ascii="Times New Roman"/>
          <w:sz w:val="26"/>
        </w:rPr>
      </w:pPr>
    </w:p>
    <w:p w14:paraId="025A409D" w14:textId="77777777" w:rsidR="009F2673" w:rsidRDefault="009F2673">
      <w:pPr>
        <w:pStyle w:val="BodyText"/>
        <w:rPr>
          <w:rFonts w:ascii="Times New Roman"/>
        </w:rPr>
      </w:pPr>
    </w:p>
    <w:p w14:paraId="5B6D8958" w14:textId="77777777" w:rsidR="009F2673" w:rsidRDefault="009F2673">
      <w:pPr>
        <w:pStyle w:val="BodyText"/>
        <w:spacing w:before="5"/>
        <w:rPr>
          <w:rFonts w:ascii="Times New Roman"/>
          <w:sz w:val="19"/>
        </w:rPr>
      </w:pPr>
    </w:p>
    <w:p w14:paraId="143AEBA9" w14:textId="77777777" w:rsidR="009F2673" w:rsidRDefault="00791834">
      <w:pPr>
        <w:pStyle w:val="BodyText"/>
        <w:tabs>
          <w:tab w:val="left" w:pos="820"/>
        </w:tabs>
        <w:ind w:left="460"/>
      </w:pPr>
      <w:r>
        <w:t>-</w:t>
      </w:r>
      <w:r>
        <w:tab/>
        <w:t>LLB (Law &amp; Shariah), International Islamic University,</w:t>
      </w:r>
      <w:r>
        <w:rPr>
          <w:spacing w:val="-3"/>
        </w:rPr>
        <w:t xml:space="preserve"> </w:t>
      </w:r>
      <w:r>
        <w:t>Islamabad</w:t>
      </w:r>
    </w:p>
    <w:sectPr w:rsidR="009F2673">
      <w:type w:val="continuous"/>
      <w:pgSz w:w="11910" w:h="16840"/>
      <w:pgMar w:top="1580" w:right="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F2673"/>
    <w:rsid w:val="00791834"/>
    <w:rsid w:val="009F2673"/>
    <w:rsid w:val="00CD57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234"/>
  <w15:docId w15:val="{14494EA4-7815-4C3A-8B20-64A6E60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Report (Vertical)</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creator>Christina Hiew</dc:creator>
  <cp:lastModifiedBy>Shikha Kedia</cp:lastModifiedBy>
  <cp:revision>3</cp:revision>
  <dcterms:created xsi:type="dcterms:W3CDTF">2021-04-22T10:54:00Z</dcterms:created>
  <dcterms:modified xsi:type="dcterms:W3CDTF">2021-04-23T01:53:00Z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2016</vt:lpwstr>
  </property>
  <property fmtid="{D5CDD505-2E9C-101B-9397-08002B2CF9AE}" pid="4" name="LastSaved">
    <vt:filetime>2021-04-22T00:00:00Z</vt:filetime>
  </property>
</Properties>
</file>