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8338" w14:textId="77777777" w:rsidR="003D4068" w:rsidRPr="0076400D" w:rsidRDefault="003D4068" w:rsidP="003D4068">
      <w:pPr>
        <w:pStyle w:val="Heading2"/>
        <w:ind w:left="426" w:hanging="426"/>
      </w:pPr>
      <w:bookmarkStart w:id="0" w:name="_Toc122603791"/>
      <w:r>
        <w:t>Corded window coverings - G/TBT/N/USA/955/Add.4 dated 30-Nov-2022</w:t>
      </w:r>
      <w:bookmarkEnd w:id="0"/>
    </w:p>
    <w:p w14:paraId="651FBDF4" w14:textId="77777777" w:rsidR="003D4068" w:rsidRDefault="003D4068" w:rsidP="003D4068">
      <w:pPr>
        <w:pStyle w:val="Header"/>
        <w:rPr>
          <w:rFonts w:asciiTheme="minorHAnsi" w:hAnsiTheme="minorHAnsi" w:cstheme="minorHAnsi"/>
          <w:sz w:val="22"/>
          <w:szCs w:val="22"/>
        </w:rPr>
      </w:pPr>
    </w:p>
    <w:tbl>
      <w:tblPr>
        <w:tblStyle w:val="TableGrid"/>
        <w:tblW w:w="0" w:type="auto"/>
        <w:tblInd w:w="1129" w:type="dxa"/>
        <w:tblLayout w:type="fixed"/>
        <w:tblLook w:val="04A0" w:firstRow="1" w:lastRow="0" w:firstColumn="1" w:lastColumn="0" w:noHBand="0" w:noVBand="1"/>
      </w:tblPr>
      <w:tblGrid>
        <w:gridCol w:w="3119"/>
        <w:gridCol w:w="4768"/>
      </w:tblGrid>
      <w:tr w:rsidR="003D4068" w:rsidRPr="00317D78" w14:paraId="19ACFEAA" w14:textId="77777777" w:rsidTr="00A23337">
        <w:tc>
          <w:tcPr>
            <w:tcW w:w="3119" w:type="dxa"/>
          </w:tcPr>
          <w:p w14:paraId="0DC725D7" w14:textId="77777777" w:rsidR="003D4068" w:rsidRPr="00317D78" w:rsidRDefault="003D4068" w:rsidP="00A23337">
            <w:pPr>
              <w:rPr>
                <w:rFonts w:asciiTheme="minorHAnsi" w:hAnsiTheme="minorHAnsi"/>
                <w:b/>
                <w:bCs/>
                <w:sz w:val="22"/>
                <w:szCs w:val="22"/>
                <w:lang w:val="en-IN"/>
              </w:rPr>
            </w:pPr>
            <w:r w:rsidRPr="693FA248">
              <w:rPr>
                <w:rFonts w:asciiTheme="minorHAnsi" w:hAnsiTheme="minorHAnsi"/>
                <w:b/>
                <w:bCs/>
                <w:sz w:val="22"/>
                <w:szCs w:val="22"/>
                <w:lang w:val="en-IN"/>
              </w:rPr>
              <w:t>Notifying Member</w:t>
            </w:r>
          </w:p>
        </w:tc>
        <w:tc>
          <w:tcPr>
            <w:tcW w:w="4768" w:type="dxa"/>
          </w:tcPr>
          <w:p w14:paraId="2C0367AC" w14:textId="77777777" w:rsidR="003D4068" w:rsidRPr="00317D78" w:rsidRDefault="003D4068" w:rsidP="00A23337">
            <w:pPr>
              <w:rPr>
                <w:rFonts w:asciiTheme="minorHAnsi" w:hAnsiTheme="minorHAnsi"/>
                <w:sz w:val="22"/>
                <w:szCs w:val="22"/>
                <w:lang w:val="en-IN"/>
              </w:rPr>
            </w:pPr>
            <w:r>
              <w:rPr>
                <w:rFonts w:asciiTheme="minorHAnsi" w:hAnsiTheme="minorHAnsi"/>
                <w:sz w:val="22"/>
                <w:szCs w:val="22"/>
                <w:lang w:val="en-IN"/>
              </w:rPr>
              <w:t>USA</w:t>
            </w:r>
          </w:p>
        </w:tc>
      </w:tr>
      <w:tr w:rsidR="003D4068" w:rsidRPr="00317D78" w14:paraId="136F59F5" w14:textId="77777777" w:rsidTr="00A23337">
        <w:tc>
          <w:tcPr>
            <w:tcW w:w="3119" w:type="dxa"/>
          </w:tcPr>
          <w:p w14:paraId="1CB276AF" w14:textId="77777777" w:rsidR="003D4068" w:rsidRPr="00317D78" w:rsidRDefault="003D4068" w:rsidP="00A23337">
            <w:pPr>
              <w:rPr>
                <w:rFonts w:asciiTheme="minorHAnsi" w:hAnsiTheme="minorHAnsi"/>
                <w:b/>
                <w:bCs/>
                <w:sz w:val="22"/>
                <w:szCs w:val="22"/>
                <w:lang w:val="en-IN"/>
              </w:rPr>
            </w:pPr>
            <w:r w:rsidRPr="693FA248">
              <w:rPr>
                <w:rFonts w:asciiTheme="minorHAnsi" w:hAnsiTheme="minorHAnsi"/>
                <w:b/>
                <w:bCs/>
                <w:sz w:val="22"/>
                <w:szCs w:val="22"/>
                <w:lang w:val="en-IN"/>
              </w:rPr>
              <w:t>Type of Notification</w:t>
            </w:r>
          </w:p>
        </w:tc>
        <w:tc>
          <w:tcPr>
            <w:tcW w:w="4768" w:type="dxa"/>
          </w:tcPr>
          <w:p w14:paraId="057FD086" w14:textId="77777777" w:rsidR="003D4068" w:rsidRPr="00317D78" w:rsidRDefault="003D4068" w:rsidP="00A23337">
            <w:pPr>
              <w:rPr>
                <w:rFonts w:asciiTheme="minorHAnsi" w:hAnsiTheme="minorHAnsi"/>
                <w:sz w:val="22"/>
                <w:szCs w:val="22"/>
                <w:lang w:val="en-IN"/>
              </w:rPr>
            </w:pPr>
            <w:r>
              <w:rPr>
                <w:rFonts w:asciiTheme="minorHAnsi" w:hAnsiTheme="minorHAnsi"/>
                <w:sz w:val="22"/>
                <w:szCs w:val="22"/>
                <w:lang w:val="en-IN"/>
              </w:rPr>
              <w:t xml:space="preserve">Addendum to </w:t>
            </w:r>
            <w:r w:rsidRPr="693FA248">
              <w:rPr>
                <w:rFonts w:asciiTheme="minorHAnsi" w:hAnsiTheme="minorHAnsi"/>
                <w:sz w:val="22"/>
                <w:szCs w:val="22"/>
                <w:lang w:val="en-IN"/>
              </w:rPr>
              <w:t>Regular Notification</w:t>
            </w:r>
          </w:p>
        </w:tc>
      </w:tr>
      <w:tr w:rsidR="003D4068" w:rsidRPr="00317D78" w14:paraId="0C58B940" w14:textId="77777777" w:rsidTr="00A23337">
        <w:tc>
          <w:tcPr>
            <w:tcW w:w="3119" w:type="dxa"/>
          </w:tcPr>
          <w:p w14:paraId="31DAC51A" w14:textId="77777777" w:rsidR="003D4068" w:rsidRPr="00317D78" w:rsidRDefault="003D4068" w:rsidP="00A23337">
            <w:pPr>
              <w:rPr>
                <w:rFonts w:asciiTheme="minorHAnsi" w:hAnsiTheme="minorHAnsi"/>
                <w:b/>
                <w:bCs/>
                <w:sz w:val="22"/>
                <w:szCs w:val="22"/>
                <w:lang w:val="en-IN"/>
              </w:rPr>
            </w:pPr>
            <w:r w:rsidRPr="693FA248">
              <w:rPr>
                <w:rFonts w:asciiTheme="minorHAnsi" w:hAnsiTheme="minorHAnsi"/>
                <w:b/>
                <w:bCs/>
                <w:sz w:val="22"/>
                <w:szCs w:val="22"/>
                <w:lang w:val="en-IN"/>
              </w:rPr>
              <w:t>Economic relevance</w:t>
            </w:r>
          </w:p>
        </w:tc>
        <w:tc>
          <w:tcPr>
            <w:tcW w:w="4768" w:type="dxa"/>
          </w:tcPr>
          <w:p w14:paraId="30C839A8" w14:textId="77777777" w:rsidR="003D4068" w:rsidRPr="00317D78" w:rsidRDefault="003D4068" w:rsidP="00A23337">
            <w:pPr>
              <w:rPr>
                <w:rFonts w:asciiTheme="minorHAnsi" w:hAnsiTheme="minorHAnsi"/>
                <w:sz w:val="22"/>
                <w:szCs w:val="22"/>
                <w:lang w:val="en-IN"/>
              </w:rPr>
            </w:pPr>
            <w:r>
              <w:rPr>
                <w:rFonts w:asciiTheme="minorHAnsi" w:hAnsiTheme="minorHAnsi"/>
                <w:sz w:val="22"/>
                <w:szCs w:val="22"/>
                <w:lang w:val="en-IN"/>
              </w:rPr>
              <w:t>High</w:t>
            </w:r>
          </w:p>
        </w:tc>
      </w:tr>
      <w:tr w:rsidR="003D4068" w:rsidRPr="00317D78" w14:paraId="400D27DC" w14:textId="77777777" w:rsidTr="00A23337">
        <w:tc>
          <w:tcPr>
            <w:tcW w:w="3119" w:type="dxa"/>
          </w:tcPr>
          <w:p w14:paraId="42C79036" w14:textId="77777777" w:rsidR="003D4068" w:rsidRPr="00317D78" w:rsidRDefault="003D4068" w:rsidP="00A23337">
            <w:pPr>
              <w:rPr>
                <w:rFonts w:asciiTheme="minorHAnsi" w:hAnsiTheme="minorHAnsi"/>
                <w:b/>
                <w:bCs/>
                <w:sz w:val="22"/>
                <w:szCs w:val="22"/>
                <w:lang w:val="en-IN"/>
              </w:rPr>
            </w:pPr>
            <w:r w:rsidRPr="693FA248">
              <w:rPr>
                <w:rFonts w:asciiTheme="minorHAnsi" w:hAnsiTheme="minorHAnsi"/>
                <w:b/>
                <w:bCs/>
                <w:sz w:val="22"/>
                <w:szCs w:val="22"/>
                <w:lang w:val="en-IN"/>
              </w:rPr>
              <w:t>Technical Relevance</w:t>
            </w:r>
          </w:p>
        </w:tc>
        <w:tc>
          <w:tcPr>
            <w:tcW w:w="4768" w:type="dxa"/>
          </w:tcPr>
          <w:p w14:paraId="7CF437C9" w14:textId="77777777" w:rsidR="003D4068" w:rsidRPr="00317D78" w:rsidRDefault="003D4068" w:rsidP="00A23337">
            <w:pPr>
              <w:rPr>
                <w:rFonts w:asciiTheme="minorHAnsi" w:hAnsiTheme="minorHAnsi"/>
                <w:sz w:val="22"/>
                <w:szCs w:val="22"/>
                <w:lang w:val="en-IN"/>
              </w:rPr>
            </w:pPr>
            <w:r w:rsidRPr="693FA248">
              <w:rPr>
                <w:rFonts w:asciiTheme="minorHAnsi" w:hAnsiTheme="minorHAnsi"/>
                <w:sz w:val="22"/>
                <w:szCs w:val="22"/>
                <w:lang w:val="en-IN"/>
              </w:rPr>
              <w:t>Technical New</w:t>
            </w:r>
          </w:p>
        </w:tc>
      </w:tr>
      <w:tr w:rsidR="003D4068" w:rsidRPr="00317D78" w14:paraId="626DB581" w14:textId="77777777" w:rsidTr="00A23337">
        <w:tc>
          <w:tcPr>
            <w:tcW w:w="3119" w:type="dxa"/>
          </w:tcPr>
          <w:p w14:paraId="53BEF6EA" w14:textId="77777777" w:rsidR="003D4068" w:rsidRPr="00317D78" w:rsidRDefault="003D4068" w:rsidP="00A23337">
            <w:pPr>
              <w:rPr>
                <w:rFonts w:asciiTheme="minorHAnsi" w:hAnsiTheme="minorHAnsi"/>
                <w:b/>
                <w:bCs/>
                <w:sz w:val="22"/>
                <w:szCs w:val="22"/>
                <w:lang w:val="en-IN"/>
              </w:rPr>
            </w:pPr>
            <w:r w:rsidRPr="693FA248">
              <w:rPr>
                <w:rFonts w:asciiTheme="minorHAnsi" w:hAnsiTheme="minorHAnsi"/>
                <w:b/>
                <w:bCs/>
                <w:sz w:val="22"/>
                <w:szCs w:val="22"/>
                <w:lang w:val="en-IN"/>
              </w:rPr>
              <w:t>Last Date to offer comments</w:t>
            </w:r>
          </w:p>
        </w:tc>
        <w:tc>
          <w:tcPr>
            <w:tcW w:w="4768" w:type="dxa"/>
          </w:tcPr>
          <w:p w14:paraId="60136099" w14:textId="77777777" w:rsidR="003D4068" w:rsidRPr="00317D78" w:rsidRDefault="003D4068" w:rsidP="00A23337">
            <w:pPr>
              <w:rPr>
                <w:rFonts w:asciiTheme="minorHAnsi" w:hAnsiTheme="minorHAnsi"/>
                <w:sz w:val="22"/>
                <w:szCs w:val="22"/>
                <w:lang w:val="en-IN"/>
              </w:rPr>
            </w:pPr>
            <w:r>
              <w:rPr>
                <w:rFonts w:asciiTheme="minorHAnsi" w:hAnsiTheme="minorHAnsi"/>
                <w:sz w:val="22"/>
                <w:szCs w:val="22"/>
                <w:lang w:val="en-IN"/>
              </w:rPr>
              <w:t>Not Applicable</w:t>
            </w:r>
          </w:p>
        </w:tc>
      </w:tr>
      <w:tr w:rsidR="003D4068" w:rsidRPr="00317D78" w14:paraId="672CC6D4" w14:textId="77777777" w:rsidTr="00A23337">
        <w:tc>
          <w:tcPr>
            <w:tcW w:w="3119" w:type="dxa"/>
          </w:tcPr>
          <w:p w14:paraId="25D91398" w14:textId="77777777" w:rsidR="003D4068" w:rsidRPr="00317D78" w:rsidRDefault="003D4068" w:rsidP="00A23337">
            <w:pPr>
              <w:rPr>
                <w:rFonts w:asciiTheme="minorHAnsi" w:hAnsiTheme="minorHAnsi"/>
                <w:b/>
                <w:bCs/>
                <w:sz w:val="22"/>
                <w:szCs w:val="22"/>
                <w:lang w:val="en-IN"/>
              </w:rPr>
            </w:pPr>
            <w:r w:rsidRPr="693FA248">
              <w:rPr>
                <w:rFonts w:asciiTheme="minorHAnsi" w:hAnsiTheme="minorHAnsi"/>
                <w:b/>
                <w:bCs/>
                <w:sz w:val="22"/>
                <w:szCs w:val="22"/>
                <w:lang w:val="en-IN"/>
              </w:rPr>
              <w:t>Relevant Organization</w:t>
            </w:r>
          </w:p>
        </w:tc>
        <w:tc>
          <w:tcPr>
            <w:tcW w:w="4768" w:type="dxa"/>
          </w:tcPr>
          <w:p w14:paraId="13D1801E" w14:textId="77777777" w:rsidR="003D4068" w:rsidRPr="00E67BC0" w:rsidRDefault="003D4068" w:rsidP="00A23337">
            <w:pPr>
              <w:rPr>
                <w:rFonts w:asciiTheme="minorHAnsi" w:hAnsiTheme="minorHAnsi"/>
                <w:color w:val="000000"/>
                <w:sz w:val="22"/>
                <w:szCs w:val="22"/>
                <w:lang w:val="en-IN"/>
              </w:rPr>
            </w:pPr>
            <w:r>
              <w:rPr>
                <w:rFonts w:asciiTheme="minorHAnsi" w:hAnsiTheme="minorHAnsi"/>
                <w:color w:val="000000" w:themeColor="text1"/>
                <w:sz w:val="22"/>
                <w:szCs w:val="22"/>
                <w:lang w:val="en-IN"/>
              </w:rPr>
              <w:t>AEPC / SRTEPC / TEXPRPOCIL</w:t>
            </w:r>
          </w:p>
        </w:tc>
      </w:tr>
      <w:tr w:rsidR="003D4068" w:rsidRPr="00317D78" w14:paraId="4EE93ED4" w14:textId="77777777" w:rsidTr="00A23337">
        <w:tc>
          <w:tcPr>
            <w:tcW w:w="3119" w:type="dxa"/>
          </w:tcPr>
          <w:p w14:paraId="3BD49B3E" w14:textId="77777777" w:rsidR="003D4068" w:rsidRPr="00317D78" w:rsidRDefault="003D4068" w:rsidP="00A23337">
            <w:pPr>
              <w:rPr>
                <w:rFonts w:asciiTheme="minorHAnsi" w:hAnsiTheme="minorHAnsi"/>
                <w:b/>
                <w:bCs/>
                <w:sz w:val="22"/>
                <w:szCs w:val="22"/>
                <w:lang w:val="en-IN"/>
              </w:rPr>
            </w:pPr>
            <w:r>
              <w:rPr>
                <w:rFonts w:asciiTheme="minorHAnsi" w:hAnsiTheme="minorHAnsi"/>
                <w:b/>
                <w:bCs/>
                <w:sz w:val="22"/>
                <w:szCs w:val="22"/>
                <w:lang w:val="en-IN"/>
              </w:rPr>
              <w:t xml:space="preserve"> </w:t>
            </w:r>
            <w:r w:rsidRPr="693FA248">
              <w:rPr>
                <w:rFonts w:asciiTheme="minorHAnsi" w:hAnsiTheme="minorHAnsi"/>
                <w:b/>
                <w:bCs/>
                <w:sz w:val="22"/>
                <w:szCs w:val="22"/>
                <w:lang w:val="en-IN"/>
              </w:rPr>
              <w:t>Folder Link</w:t>
            </w:r>
          </w:p>
        </w:tc>
        <w:tc>
          <w:tcPr>
            <w:tcW w:w="4768" w:type="dxa"/>
          </w:tcPr>
          <w:p w14:paraId="66546666" w14:textId="77777777" w:rsidR="003D4068" w:rsidRPr="00317D78" w:rsidRDefault="00000000" w:rsidP="00A23337">
            <w:pPr>
              <w:rPr>
                <w:rFonts w:asciiTheme="minorHAnsi" w:hAnsiTheme="minorHAnsi"/>
                <w:sz w:val="22"/>
                <w:szCs w:val="22"/>
                <w:lang w:val="en-IN"/>
              </w:rPr>
            </w:pPr>
            <w:hyperlink r:id="rId7">
              <w:r w:rsidR="003D4068" w:rsidRPr="693FA248">
                <w:rPr>
                  <w:rStyle w:val="Hyperlink"/>
                  <w:rFonts w:asciiTheme="minorHAnsi" w:hAnsiTheme="minorHAnsi"/>
                  <w:sz w:val="22"/>
                  <w:szCs w:val="22"/>
                </w:rPr>
                <w:t>Link</w:t>
              </w:r>
            </w:hyperlink>
          </w:p>
        </w:tc>
      </w:tr>
    </w:tbl>
    <w:p w14:paraId="651C3ACF" w14:textId="77777777" w:rsidR="003D4068" w:rsidRPr="00E91517" w:rsidRDefault="003D4068" w:rsidP="003D4068">
      <w:pPr>
        <w:pStyle w:val="Header"/>
        <w:rPr>
          <w:rFonts w:asciiTheme="minorHAnsi" w:hAnsiTheme="minorHAnsi" w:cstheme="minorHAnsi"/>
          <w:sz w:val="22"/>
          <w:szCs w:val="22"/>
        </w:rPr>
      </w:pPr>
    </w:p>
    <w:p w14:paraId="0708F157" w14:textId="77777777" w:rsidR="003D4068" w:rsidRPr="00E415D2" w:rsidRDefault="003D4068" w:rsidP="003D4068">
      <w:pPr>
        <w:rPr>
          <w:rFonts w:asciiTheme="minorHAnsi" w:hAnsiTheme="minorHAnsi" w:cstheme="minorHAnsi"/>
        </w:rPr>
      </w:pPr>
      <w:r w:rsidRPr="46BF609B">
        <w:rPr>
          <w:rFonts w:asciiTheme="minorHAnsi" w:hAnsiTheme="minorHAnsi"/>
          <w:b/>
          <w:bCs/>
        </w:rPr>
        <w:t>Proposal in brief</w:t>
      </w:r>
    </w:p>
    <w:p w14:paraId="7D1F5DC9" w14:textId="77777777" w:rsidR="003D4068" w:rsidRDefault="003D4068" w:rsidP="003D4068">
      <w:pPr>
        <w:pStyle w:val="ListParagraph"/>
        <w:numPr>
          <w:ilvl w:val="0"/>
          <w:numId w:val="4"/>
        </w:numPr>
        <w:spacing w:before="120" w:after="120" w:line="276" w:lineRule="auto"/>
        <w:jc w:val="both"/>
        <w:rPr>
          <w:rFonts w:asciiTheme="minorHAnsi" w:eastAsia="Calibri" w:hAnsiTheme="minorHAnsi" w:cstheme="minorHAnsi"/>
          <w:color w:val="000000" w:themeColor="text1"/>
        </w:rPr>
      </w:pPr>
      <w:r w:rsidRPr="00D672D5">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 xml:space="preserve">The USA has notified members about the publishing of the final rule “Safety Standards for operating cords on Custom Window Coverings” which determined that </w:t>
      </w:r>
      <w:r w:rsidRPr="00EA0C33">
        <w:rPr>
          <w:rFonts w:asciiTheme="minorHAnsi" w:eastAsia="Calibri" w:hAnsiTheme="minorHAnsi" w:cstheme="minorHAnsi"/>
          <w:color w:val="000000" w:themeColor="text1"/>
        </w:rPr>
        <w:t>custom window coverings with accessible operating cords longer than 8 inches pose an unreasonable risk of strangulation to children 8 years old and younger.</w:t>
      </w:r>
    </w:p>
    <w:p w14:paraId="375DD74A" w14:textId="77777777" w:rsidR="003D4068" w:rsidRPr="005D69DD" w:rsidRDefault="003D4068" w:rsidP="003D4068">
      <w:pPr>
        <w:pStyle w:val="ListParagraph"/>
        <w:numPr>
          <w:ilvl w:val="0"/>
          <w:numId w:val="4"/>
        </w:numPr>
        <w:spacing w:before="120" w:after="120" w:line="276"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lang w:val="en-US"/>
        </w:rPr>
        <w:t>E</w:t>
      </w:r>
      <w:r w:rsidRPr="00A31A79">
        <w:rPr>
          <w:rFonts w:asciiTheme="minorHAnsi" w:eastAsia="Calibri" w:hAnsiTheme="minorHAnsi" w:cstheme="minorHAnsi"/>
          <w:color w:val="000000" w:themeColor="text1"/>
          <w:lang w:val="en-US"/>
        </w:rPr>
        <w:t>ach custom window covering shall comply with section 4.3.1 or 4.3.2.5.2, instead of section 4.3.2, of ANSI/WCMA A100.1—2018</w:t>
      </w:r>
      <w:r>
        <w:rPr>
          <w:rFonts w:asciiTheme="minorHAnsi" w:eastAsia="Calibri" w:hAnsiTheme="minorHAnsi" w:cstheme="minorHAnsi"/>
          <w:color w:val="000000" w:themeColor="text1"/>
          <w:lang w:val="en-US"/>
        </w:rPr>
        <w:t>.</w:t>
      </w:r>
    </w:p>
    <w:p w14:paraId="261901AF" w14:textId="77777777" w:rsidR="003D4068" w:rsidRPr="00ED0E96" w:rsidRDefault="003D4068" w:rsidP="003D4068">
      <w:pPr>
        <w:pStyle w:val="ListParagraph"/>
        <w:numPr>
          <w:ilvl w:val="0"/>
          <w:numId w:val="4"/>
        </w:numPr>
        <w:spacing w:before="120" w:after="120" w:line="276"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lang w:val="en-US"/>
        </w:rPr>
        <w:t>T</w:t>
      </w:r>
      <w:r w:rsidRPr="00A31A79">
        <w:rPr>
          <w:rFonts w:asciiTheme="minorHAnsi" w:eastAsia="Calibri" w:hAnsiTheme="minorHAnsi" w:cstheme="minorHAnsi"/>
          <w:color w:val="000000" w:themeColor="text1"/>
          <w:lang w:val="en-US"/>
        </w:rPr>
        <w:t xml:space="preserve">he rigid cord shroud shall meet the requirements in section 6.3, of ANSI/ WCMA A100.1—2018 and shall not have an accessible cord when tested for cord accessibility using the test methods defined in paragraphs (b)(1) and (2) of this section. </w:t>
      </w:r>
    </w:p>
    <w:p w14:paraId="28625B36" w14:textId="77777777" w:rsidR="003D4068" w:rsidRPr="00ED0E96" w:rsidRDefault="003D4068" w:rsidP="003D4068">
      <w:pPr>
        <w:pStyle w:val="ListParagraph"/>
        <w:numPr>
          <w:ilvl w:val="0"/>
          <w:numId w:val="4"/>
        </w:numPr>
        <w:spacing w:before="120" w:after="120" w:line="276"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lang w:val="en-US"/>
        </w:rPr>
        <w:t>The following Test</w:t>
      </w:r>
      <w:r w:rsidRPr="00A31A79">
        <w:rPr>
          <w:rFonts w:asciiTheme="minorHAnsi" w:eastAsia="Calibri" w:hAnsiTheme="minorHAnsi" w:cstheme="minorHAnsi"/>
          <w:color w:val="000000" w:themeColor="text1"/>
          <w:lang w:val="en-US"/>
        </w:rPr>
        <w:t xml:space="preserve"> methods for rigid cord shrouds</w:t>
      </w:r>
      <w:r>
        <w:rPr>
          <w:rFonts w:asciiTheme="minorHAnsi" w:eastAsia="Calibri" w:hAnsiTheme="minorHAnsi" w:cstheme="minorHAnsi"/>
          <w:color w:val="000000" w:themeColor="text1"/>
          <w:lang w:val="en-US"/>
        </w:rPr>
        <w:t xml:space="preserve"> shall be conducted:</w:t>
      </w:r>
    </w:p>
    <w:p w14:paraId="6051E8C7" w14:textId="77777777" w:rsidR="003D4068" w:rsidRPr="00B66F6C" w:rsidRDefault="003D4068" w:rsidP="003D4068">
      <w:pPr>
        <w:pStyle w:val="ListParagraph"/>
        <w:numPr>
          <w:ilvl w:val="1"/>
          <w:numId w:val="4"/>
        </w:numPr>
        <w:spacing w:before="120" w:after="120" w:line="276" w:lineRule="auto"/>
        <w:jc w:val="both"/>
        <w:rPr>
          <w:rFonts w:asciiTheme="minorHAnsi" w:eastAsia="Calibri" w:hAnsiTheme="minorHAnsi" w:cstheme="minorHAnsi"/>
          <w:color w:val="000000" w:themeColor="text1"/>
        </w:rPr>
      </w:pPr>
      <w:r w:rsidRPr="00A31A79">
        <w:rPr>
          <w:rFonts w:asciiTheme="minorHAnsi" w:eastAsia="Calibri" w:hAnsiTheme="minorHAnsi" w:cstheme="minorHAnsi"/>
          <w:color w:val="000000" w:themeColor="text1"/>
          <w:lang w:val="en-US"/>
        </w:rPr>
        <w:t>Center load test</w:t>
      </w:r>
      <w:r>
        <w:rPr>
          <w:rFonts w:asciiTheme="minorHAnsi" w:eastAsia="Calibri" w:hAnsiTheme="minorHAnsi" w:cstheme="minorHAnsi"/>
          <w:color w:val="000000" w:themeColor="text1"/>
          <w:lang w:val="en-US"/>
        </w:rPr>
        <w:t xml:space="preserve"> – should support each end of the rigid cord shroud within 0.25 inches from the ends. For rigid cord shrouds that are </w:t>
      </w:r>
      <w:r w:rsidRPr="00117C4C">
        <w:rPr>
          <w:rFonts w:asciiTheme="minorHAnsi" w:eastAsia="Calibri" w:hAnsiTheme="minorHAnsi" w:cstheme="minorHAnsi"/>
          <w:color w:val="000000" w:themeColor="text1"/>
          <w:lang w:val="en-US"/>
        </w:rPr>
        <w:t>≤19</w:t>
      </w:r>
      <w:r>
        <w:rPr>
          <w:rFonts w:asciiTheme="minorHAnsi" w:eastAsia="Calibri" w:hAnsiTheme="minorHAnsi" w:cstheme="minorHAnsi"/>
          <w:color w:val="000000" w:themeColor="text1"/>
          <w:lang w:val="en-US"/>
        </w:rPr>
        <w:t xml:space="preserve"> inches, the deflection shall not exceed 2 inches. </w:t>
      </w:r>
    </w:p>
    <w:p w14:paraId="415C030B" w14:textId="77777777" w:rsidR="003D4068" w:rsidRPr="00B66F6C" w:rsidRDefault="003D4068" w:rsidP="003D4068">
      <w:pPr>
        <w:pStyle w:val="ListParagraph"/>
        <w:numPr>
          <w:ilvl w:val="1"/>
          <w:numId w:val="4"/>
        </w:numPr>
        <w:spacing w:before="120" w:after="120" w:line="276"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lang w:val="en-US"/>
        </w:rPr>
        <w:t>Axial torque test – mount one end of the rigid cord shroud and restrict the rotation along the axial direction. 4.4 in-lb. (0.5 Nm) torque along the other end of the rigid cord shroud for 5 seconds to check if the cord shroud accessibility test probe can touch any cord.</w:t>
      </w:r>
    </w:p>
    <w:p w14:paraId="01ED944B" w14:textId="77777777" w:rsidR="003D4068" w:rsidRPr="00412B12" w:rsidRDefault="003D4068" w:rsidP="003D4068">
      <w:pPr>
        <w:pStyle w:val="ListParagraph"/>
        <w:numPr>
          <w:ilvl w:val="0"/>
          <w:numId w:val="4"/>
        </w:numPr>
        <w:spacing w:before="120" w:after="120" w:line="276" w:lineRule="auto"/>
        <w:jc w:val="both"/>
        <w:rPr>
          <w:rFonts w:asciiTheme="minorHAnsi" w:eastAsia="Calibri" w:hAnsiTheme="minorHAnsi" w:cstheme="minorHAnsi"/>
          <w:color w:val="000000" w:themeColor="text1"/>
        </w:rPr>
      </w:pPr>
      <w:r w:rsidRPr="00412B12">
        <w:rPr>
          <w:rFonts w:asciiTheme="minorHAnsi" w:eastAsia="Calibri" w:hAnsiTheme="minorHAnsi" w:cstheme="minorHAnsi"/>
          <w:color w:val="000000" w:themeColor="text1"/>
          <w:lang w:val="en-US"/>
        </w:rPr>
        <w:t>Manufacturers and importers of custom window coverings shall not manufacture or import custom window coverings that do not comply with the requirements of this part in any 180</w:t>
      </w:r>
      <w:r>
        <w:rPr>
          <w:rFonts w:asciiTheme="minorHAnsi" w:eastAsia="Calibri" w:hAnsiTheme="minorHAnsi" w:cstheme="minorHAnsi"/>
          <w:color w:val="000000" w:themeColor="text1"/>
          <w:lang w:val="en-US"/>
        </w:rPr>
        <w:t xml:space="preserve"> days</w:t>
      </w:r>
      <w:r w:rsidRPr="00412B12">
        <w:rPr>
          <w:rFonts w:asciiTheme="minorHAnsi" w:eastAsia="Calibri" w:hAnsiTheme="minorHAnsi" w:cstheme="minorHAnsi"/>
          <w:color w:val="000000" w:themeColor="text1"/>
          <w:lang w:val="en-US"/>
        </w:rPr>
        <w:t xml:space="preserve"> between November 28, 2022, and May 30, 2023, at a rate that is greater than 120 percent of the rate at which they manufactured or imported custom window coverings during the base period for the manufacturer. The base period for custom window coverings is any period of 180 consecutive dates, chosen by the manufacturer or importer, in the 5</w:t>
      </w:r>
      <w:r>
        <w:rPr>
          <w:rFonts w:asciiTheme="minorHAnsi" w:eastAsia="Calibri" w:hAnsiTheme="minorHAnsi" w:cstheme="minorHAnsi"/>
          <w:color w:val="000000" w:themeColor="text1"/>
          <w:lang w:val="en-US"/>
        </w:rPr>
        <w:t xml:space="preserve"> years</w:t>
      </w:r>
      <w:r w:rsidRPr="00412B12">
        <w:rPr>
          <w:rFonts w:asciiTheme="minorHAnsi" w:eastAsia="Calibri" w:hAnsiTheme="minorHAnsi" w:cstheme="minorHAnsi"/>
          <w:color w:val="000000" w:themeColor="text1"/>
          <w:lang w:val="en-US"/>
        </w:rPr>
        <w:t xml:space="preserve"> immediately preceding November 28, 2022.</w:t>
      </w:r>
    </w:p>
    <w:p w14:paraId="125EA5D0" w14:textId="77777777" w:rsidR="003D4068" w:rsidRDefault="003D4068" w:rsidP="003D4068">
      <w:pPr>
        <w:pStyle w:val="ListParagraph"/>
        <w:numPr>
          <w:ilvl w:val="0"/>
          <w:numId w:val="4"/>
        </w:numPr>
        <w:spacing w:before="120" w:after="120" w:line="276"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T</w:t>
      </w:r>
      <w:r w:rsidRPr="00946964">
        <w:rPr>
          <w:rFonts w:asciiTheme="minorHAnsi" w:eastAsia="Calibri" w:hAnsiTheme="minorHAnsi" w:cstheme="minorHAnsi"/>
          <w:color w:val="000000" w:themeColor="text1"/>
        </w:rPr>
        <w:t xml:space="preserve">he effective date of the rule </w:t>
      </w:r>
      <w:r>
        <w:rPr>
          <w:rFonts w:asciiTheme="minorHAnsi" w:eastAsia="Calibri" w:hAnsiTheme="minorHAnsi" w:cstheme="minorHAnsi"/>
          <w:color w:val="000000" w:themeColor="text1"/>
        </w:rPr>
        <w:t xml:space="preserve">shall be </w:t>
      </w:r>
      <w:r w:rsidRPr="00946964">
        <w:rPr>
          <w:rFonts w:asciiTheme="minorHAnsi" w:eastAsia="Calibri" w:hAnsiTheme="minorHAnsi" w:cstheme="minorHAnsi"/>
          <w:color w:val="000000" w:themeColor="text1"/>
        </w:rPr>
        <w:t xml:space="preserve">30 May 2023, and the rule </w:t>
      </w:r>
      <w:r>
        <w:rPr>
          <w:rFonts w:asciiTheme="minorHAnsi" w:eastAsia="Calibri" w:hAnsiTheme="minorHAnsi" w:cstheme="minorHAnsi"/>
          <w:color w:val="000000" w:themeColor="text1"/>
        </w:rPr>
        <w:t xml:space="preserve">shall be applied to </w:t>
      </w:r>
      <w:r w:rsidRPr="00946964">
        <w:rPr>
          <w:rFonts w:asciiTheme="minorHAnsi" w:eastAsia="Calibri" w:hAnsiTheme="minorHAnsi" w:cstheme="minorHAnsi"/>
          <w:color w:val="000000" w:themeColor="text1"/>
        </w:rPr>
        <w:t>all custom window coverings manufactured after that date.</w:t>
      </w:r>
    </w:p>
    <w:p w14:paraId="540BE89E" w14:textId="77777777" w:rsidR="003D4068" w:rsidRPr="00D672D5" w:rsidRDefault="003D4068" w:rsidP="003D4068">
      <w:pPr>
        <w:spacing w:line="276" w:lineRule="auto"/>
        <w:jc w:val="both"/>
        <w:rPr>
          <w:rFonts w:ascii="Calibri" w:eastAsia="Calibri" w:hAnsi="Calibri" w:cs="Calibri"/>
          <w:b/>
          <w:bCs/>
          <w:noProof/>
          <w:color w:val="000000" w:themeColor="text1"/>
        </w:rPr>
      </w:pPr>
      <w:r w:rsidRPr="00D672D5">
        <w:rPr>
          <w:rFonts w:ascii="Calibri" w:eastAsia="Calibri" w:hAnsi="Calibri" w:cs="Calibri"/>
          <w:b/>
          <w:bCs/>
          <w:noProof/>
          <w:color w:val="000000" w:themeColor="text1"/>
        </w:rPr>
        <w:t>Analysis</w:t>
      </w:r>
    </w:p>
    <w:p w14:paraId="67E7CDE3" w14:textId="77777777" w:rsidR="003D4068" w:rsidRPr="00D672D5" w:rsidRDefault="003D4068" w:rsidP="003D4068">
      <w:pPr>
        <w:pStyle w:val="ListParagraph"/>
        <w:numPr>
          <w:ilvl w:val="0"/>
          <w:numId w:val="3"/>
        </w:numPr>
        <w:spacing w:line="276" w:lineRule="auto"/>
        <w:jc w:val="both"/>
        <w:rPr>
          <w:rFonts w:asciiTheme="minorHAnsi" w:eastAsiaTheme="minorEastAsia" w:hAnsiTheme="minorHAnsi" w:cstheme="minorHAnsi"/>
          <w:lang w:val="en-US"/>
        </w:rPr>
      </w:pPr>
      <w:r>
        <w:rPr>
          <w:rFonts w:asciiTheme="minorHAnsi" w:eastAsiaTheme="minorEastAsia" w:hAnsiTheme="minorHAnsi" w:cstheme="minorHAnsi"/>
          <w:lang w:val="en-US"/>
        </w:rPr>
        <w:t>The said regulation is issued considering the safety of children from window covering cords. Before the final rule, sufficient notice has been provided to the stakeholders for their comments. The same does not seem to have any adverse effect on the trade.</w:t>
      </w:r>
    </w:p>
    <w:p w14:paraId="42D26B29" w14:textId="77777777" w:rsidR="003D4068" w:rsidRPr="00937B72" w:rsidRDefault="003D4068" w:rsidP="003D4068">
      <w:pPr>
        <w:jc w:val="both"/>
        <w:rPr>
          <w:rFonts w:ascii="Calibri" w:eastAsia="Calibri" w:hAnsi="Calibri" w:cs="Calibri"/>
          <w:noProof/>
          <w:color w:val="000000" w:themeColor="text1"/>
        </w:rPr>
      </w:pPr>
      <w:r w:rsidRPr="00937B72">
        <w:rPr>
          <w:rFonts w:ascii="Calibri" w:eastAsia="Calibri" w:hAnsi="Calibri" w:cs="Calibri"/>
          <w:b/>
          <w:bCs/>
          <w:noProof/>
          <w:color w:val="000000" w:themeColor="text1"/>
        </w:rPr>
        <w:t>Action Points</w:t>
      </w:r>
    </w:p>
    <w:p w14:paraId="1D65DABD" w14:textId="77777777" w:rsidR="003D4068" w:rsidRDefault="003D4068" w:rsidP="003D4068">
      <w:pPr>
        <w:pStyle w:val="ListParagraph"/>
        <w:numPr>
          <w:ilvl w:val="0"/>
          <w:numId w:val="1"/>
        </w:numPr>
        <w:spacing w:line="276" w:lineRule="auto"/>
        <w:jc w:val="both"/>
        <w:rPr>
          <w:rFonts w:asciiTheme="minorHAnsi" w:eastAsia="Calibri" w:hAnsiTheme="minorHAnsi"/>
          <w:noProof/>
          <w:color w:val="000000" w:themeColor="text1"/>
        </w:rPr>
      </w:pPr>
      <w:r w:rsidRPr="693FA248">
        <w:rPr>
          <w:rFonts w:asciiTheme="minorHAnsi" w:eastAsia="Calibri" w:hAnsiTheme="minorHAnsi"/>
          <w:b/>
          <w:bCs/>
          <w:noProof/>
          <w:color w:val="000000" w:themeColor="text1"/>
        </w:rPr>
        <w:lastRenderedPageBreak/>
        <w:t>For Sarvada:</w:t>
      </w:r>
      <w:r w:rsidRPr="693FA248">
        <w:rPr>
          <w:rFonts w:asciiTheme="minorHAnsi" w:eastAsia="Calibri" w:hAnsiTheme="minorHAnsi"/>
          <w:noProof/>
          <w:color w:val="000000" w:themeColor="text1"/>
        </w:rPr>
        <w:t xml:space="preserve"> Sarvada is disseminating the information to the stakeholders in its list. The email/s are copied to EIC and  DOC</w:t>
      </w:r>
      <w:r>
        <w:rPr>
          <w:rFonts w:asciiTheme="minorHAnsi" w:eastAsia="Calibri" w:hAnsiTheme="minorHAnsi"/>
          <w:noProof/>
          <w:color w:val="000000" w:themeColor="text1"/>
        </w:rPr>
        <w:t>.</w:t>
      </w:r>
    </w:p>
    <w:p w14:paraId="67854C24" w14:textId="77777777" w:rsidR="003D4068" w:rsidRDefault="003D4068" w:rsidP="003D4068">
      <w:pPr>
        <w:rPr>
          <w:rFonts w:asciiTheme="minorHAnsi" w:eastAsia="Calibri" w:hAnsiTheme="minorHAnsi"/>
          <w:noProof/>
          <w:color w:val="000000" w:themeColor="text1"/>
          <w:sz w:val="22"/>
          <w:szCs w:val="22"/>
          <w:lang w:val="en-IN"/>
        </w:rPr>
      </w:pPr>
      <w:r>
        <w:rPr>
          <w:rFonts w:asciiTheme="minorHAnsi" w:eastAsia="Calibri" w:hAnsiTheme="minorHAnsi"/>
          <w:noProof/>
          <w:color w:val="000000" w:themeColor="text1"/>
        </w:rPr>
        <w:br w:type="page"/>
      </w:r>
    </w:p>
    <w:p w14:paraId="158E5AC8" w14:textId="77777777" w:rsidR="003D4068" w:rsidRPr="0079642D" w:rsidRDefault="003D4068" w:rsidP="003D4068">
      <w:pPr>
        <w:pStyle w:val="Heading2"/>
        <w:ind w:left="426" w:hanging="426"/>
      </w:pPr>
      <w:bookmarkStart w:id="1" w:name="_Toc122603796"/>
      <w:r>
        <w:lastRenderedPageBreak/>
        <w:t>Window Covering Cords</w:t>
      </w:r>
      <w:r w:rsidRPr="0079642D">
        <w:t>- G/TBT/N/</w:t>
      </w:r>
      <w:r>
        <w:t>USA</w:t>
      </w:r>
      <w:r w:rsidRPr="0079642D">
        <w:t>/</w:t>
      </w:r>
      <w:r>
        <w:t>1820/Add.1</w:t>
      </w:r>
      <w:r w:rsidRPr="0079642D">
        <w:t xml:space="preserve"> Dated </w:t>
      </w:r>
      <w:r>
        <w:t>30</w:t>
      </w:r>
      <w:r w:rsidRPr="0079642D">
        <w:t>-</w:t>
      </w:r>
      <w:r>
        <w:t>Nov</w:t>
      </w:r>
      <w:r w:rsidRPr="0079642D">
        <w:t>-2022</w:t>
      </w:r>
      <w:bookmarkEnd w:id="1"/>
    </w:p>
    <w:p w14:paraId="113D5931" w14:textId="77777777" w:rsidR="003D4068" w:rsidRDefault="003D4068" w:rsidP="003D4068">
      <w:pPr>
        <w:pStyle w:val="Header"/>
        <w:rPr>
          <w:rFonts w:asciiTheme="minorHAnsi" w:hAnsiTheme="minorHAnsi" w:cstheme="minorHAnsi"/>
          <w:sz w:val="22"/>
          <w:szCs w:val="22"/>
        </w:rPr>
      </w:pPr>
    </w:p>
    <w:tbl>
      <w:tblPr>
        <w:tblStyle w:val="TableGrid"/>
        <w:tblW w:w="0" w:type="auto"/>
        <w:tblInd w:w="1129" w:type="dxa"/>
        <w:tblLayout w:type="fixed"/>
        <w:tblLook w:val="04A0" w:firstRow="1" w:lastRow="0" w:firstColumn="1" w:lastColumn="0" w:noHBand="0" w:noVBand="1"/>
      </w:tblPr>
      <w:tblGrid>
        <w:gridCol w:w="3119"/>
        <w:gridCol w:w="4768"/>
      </w:tblGrid>
      <w:tr w:rsidR="003D4068" w:rsidRPr="00317D78" w14:paraId="7243F4F4" w14:textId="77777777" w:rsidTr="00A23337">
        <w:tc>
          <w:tcPr>
            <w:tcW w:w="3119" w:type="dxa"/>
          </w:tcPr>
          <w:p w14:paraId="7993588E" w14:textId="77777777" w:rsidR="003D4068" w:rsidRPr="00317D78" w:rsidRDefault="003D4068" w:rsidP="00A23337">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Notifying Member</w:t>
            </w:r>
          </w:p>
        </w:tc>
        <w:tc>
          <w:tcPr>
            <w:tcW w:w="4768" w:type="dxa"/>
          </w:tcPr>
          <w:p w14:paraId="24B942CA" w14:textId="77777777" w:rsidR="003D4068" w:rsidRPr="00317D78" w:rsidRDefault="003D4068" w:rsidP="00A23337">
            <w:pPr>
              <w:rPr>
                <w:rFonts w:asciiTheme="minorHAnsi" w:hAnsiTheme="minorHAnsi"/>
                <w:sz w:val="22"/>
                <w:szCs w:val="22"/>
                <w:lang w:val="en-IN"/>
              </w:rPr>
            </w:pPr>
            <w:r>
              <w:rPr>
                <w:rFonts w:asciiTheme="minorHAnsi" w:hAnsiTheme="minorHAnsi"/>
                <w:sz w:val="22"/>
                <w:szCs w:val="22"/>
                <w:lang w:val="en-IN"/>
              </w:rPr>
              <w:t>USA</w:t>
            </w:r>
          </w:p>
        </w:tc>
      </w:tr>
      <w:tr w:rsidR="003D4068" w:rsidRPr="00317D78" w14:paraId="7EEF5F50" w14:textId="77777777" w:rsidTr="00A23337">
        <w:tc>
          <w:tcPr>
            <w:tcW w:w="3119" w:type="dxa"/>
          </w:tcPr>
          <w:p w14:paraId="34192FF9" w14:textId="77777777" w:rsidR="003D4068" w:rsidRPr="00317D78" w:rsidRDefault="003D4068" w:rsidP="00A23337">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Type of Notification</w:t>
            </w:r>
          </w:p>
        </w:tc>
        <w:tc>
          <w:tcPr>
            <w:tcW w:w="4768" w:type="dxa"/>
          </w:tcPr>
          <w:p w14:paraId="45523CB2" w14:textId="77777777" w:rsidR="003D4068" w:rsidRPr="00317D78" w:rsidRDefault="003D4068" w:rsidP="00A23337">
            <w:pPr>
              <w:rPr>
                <w:rFonts w:asciiTheme="minorHAnsi" w:hAnsiTheme="minorHAnsi"/>
                <w:sz w:val="22"/>
                <w:szCs w:val="22"/>
                <w:lang w:val="en-IN"/>
              </w:rPr>
            </w:pPr>
            <w:r>
              <w:rPr>
                <w:rFonts w:asciiTheme="minorHAnsi" w:hAnsiTheme="minorHAnsi"/>
                <w:sz w:val="22"/>
                <w:szCs w:val="22"/>
              </w:rPr>
              <w:t xml:space="preserve">Addendum to </w:t>
            </w:r>
            <w:r w:rsidRPr="004F1D93">
              <w:rPr>
                <w:rFonts w:asciiTheme="minorHAnsi" w:hAnsiTheme="minorHAnsi"/>
                <w:sz w:val="22"/>
                <w:szCs w:val="22"/>
              </w:rPr>
              <w:t>Regular notification</w:t>
            </w:r>
          </w:p>
        </w:tc>
      </w:tr>
      <w:tr w:rsidR="003D4068" w:rsidRPr="00317D78" w14:paraId="099E12AB" w14:textId="77777777" w:rsidTr="00A23337">
        <w:tc>
          <w:tcPr>
            <w:tcW w:w="3119" w:type="dxa"/>
          </w:tcPr>
          <w:p w14:paraId="40287A6C" w14:textId="77777777" w:rsidR="003D4068" w:rsidRPr="00317D78" w:rsidRDefault="003D4068" w:rsidP="00A23337">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Economic relevance</w:t>
            </w:r>
          </w:p>
        </w:tc>
        <w:tc>
          <w:tcPr>
            <w:tcW w:w="4768" w:type="dxa"/>
          </w:tcPr>
          <w:p w14:paraId="6BED4C89" w14:textId="77777777" w:rsidR="003D4068" w:rsidRPr="00317D78" w:rsidRDefault="003D4068" w:rsidP="00A23337">
            <w:pPr>
              <w:rPr>
                <w:rFonts w:asciiTheme="minorHAnsi" w:hAnsiTheme="minorHAnsi"/>
                <w:sz w:val="22"/>
                <w:szCs w:val="22"/>
                <w:lang w:val="en-IN"/>
              </w:rPr>
            </w:pPr>
            <w:r>
              <w:rPr>
                <w:rFonts w:asciiTheme="minorHAnsi" w:hAnsiTheme="minorHAnsi"/>
                <w:sz w:val="22"/>
                <w:szCs w:val="22"/>
                <w:lang w:val="en-IN"/>
              </w:rPr>
              <w:t>High</w:t>
            </w:r>
          </w:p>
        </w:tc>
      </w:tr>
      <w:tr w:rsidR="003D4068" w:rsidRPr="00317D78" w14:paraId="6ABD189F" w14:textId="77777777" w:rsidTr="00A23337">
        <w:tc>
          <w:tcPr>
            <w:tcW w:w="3119" w:type="dxa"/>
          </w:tcPr>
          <w:p w14:paraId="103ED702" w14:textId="77777777" w:rsidR="003D4068" w:rsidRPr="00317D78" w:rsidRDefault="003D4068" w:rsidP="00A23337">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Technical Relevance</w:t>
            </w:r>
          </w:p>
        </w:tc>
        <w:tc>
          <w:tcPr>
            <w:tcW w:w="4768" w:type="dxa"/>
          </w:tcPr>
          <w:p w14:paraId="55CB13A2" w14:textId="77777777" w:rsidR="003D4068" w:rsidRPr="00317D78" w:rsidRDefault="003D4068" w:rsidP="00A23337">
            <w:pPr>
              <w:rPr>
                <w:rFonts w:asciiTheme="minorHAnsi" w:hAnsiTheme="minorHAnsi"/>
                <w:sz w:val="22"/>
                <w:szCs w:val="22"/>
                <w:lang w:val="en-IN"/>
              </w:rPr>
            </w:pPr>
            <w:r w:rsidRPr="007A1D0A">
              <w:rPr>
                <w:rFonts w:ascii="Calibri" w:hAnsi="Calibri" w:cs="Calibri"/>
                <w:sz w:val="22"/>
                <w:szCs w:val="22"/>
                <w:shd w:val="clear" w:color="auto" w:fill="FFFFFF"/>
              </w:rPr>
              <w:t>Technical-New</w:t>
            </w:r>
          </w:p>
        </w:tc>
      </w:tr>
      <w:tr w:rsidR="003D4068" w:rsidRPr="00317D78" w14:paraId="262277F6" w14:textId="77777777" w:rsidTr="00A23337">
        <w:tc>
          <w:tcPr>
            <w:tcW w:w="3119" w:type="dxa"/>
          </w:tcPr>
          <w:p w14:paraId="736685BE" w14:textId="77777777" w:rsidR="003D4068" w:rsidRPr="00317D78" w:rsidRDefault="003D4068" w:rsidP="00A23337">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Last Date to offer comments</w:t>
            </w:r>
          </w:p>
        </w:tc>
        <w:tc>
          <w:tcPr>
            <w:tcW w:w="4768" w:type="dxa"/>
          </w:tcPr>
          <w:p w14:paraId="3F25BF23" w14:textId="77777777" w:rsidR="003D4068" w:rsidRPr="00317D78" w:rsidRDefault="003D4068" w:rsidP="00A23337">
            <w:pPr>
              <w:rPr>
                <w:rFonts w:asciiTheme="minorHAnsi" w:hAnsiTheme="minorHAnsi"/>
                <w:sz w:val="22"/>
                <w:szCs w:val="22"/>
                <w:lang w:val="en-IN"/>
              </w:rPr>
            </w:pPr>
            <w:r>
              <w:rPr>
                <w:rFonts w:asciiTheme="minorHAnsi" w:hAnsiTheme="minorHAnsi"/>
                <w:sz w:val="22"/>
                <w:szCs w:val="22"/>
                <w:lang w:val="en-IN"/>
              </w:rPr>
              <w:t>Not Applicable</w:t>
            </w:r>
          </w:p>
        </w:tc>
      </w:tr>
      <w:tr w:rsidR="003D4068" w:rsidRPr="00317D78" w14:paraId="651B8BA4" w14:textId="77777777" w:rsidTr="00A23337">
        <w:tc>
          <w:tcPr>
            <w:tcW w:w="3119" w:type="dxa"/>
          </w:tcPr>
          <w:p w14:paraId="1360CE78" w14:textId="77777777" w:rsidR="003D4068" w:rsidRPr="00317D78" w:rsidRDefault="003D4068" w:rsidP="00A23337">
            <w:pPr>
              <w:rPr>
                <w:rFonts w:asciiTheme="minorHAnsi" w:hAnsiTheme="minorHAnsi" w:cstheme="minorHAnsi"/>
                <w:b/>
                <w:bCs/>
                <w:sz w:val="22"/>
                <w:szCs w:val="22"/>
                <w:lang w:val="en-IN"/>
              </w:rPr>
            </w:pPr>
            <w:r>
              <w:rPr>
                <w:rFonts w:asciiTheme="minorHAnsi" w:hAnsiTheme="minorHAnsi" w:cstheme="minorHAnsi"/>
                <w:b/>
                <w:bCs/>
                <w:sz w:val="22"/>
                <w:szCs w:val="22"/>
                <w:lang w:val="en-IN"/>
              </w:rPr>
              <w:t>Date of Entry into Force</w:t>
            </w:r>
          </w:p>
        </w:tc>
        <w:tc>
          <w:tcPr>
            <w:tcW w:w="4768" w:type="dxa"/>
          </w:tcPr>
          <w:p w14:paraId="03DD8A9E" w14:textId="77777777" w:rsidR="003D4068" w:rsidRPr="00317D78" w:rsidRDefault="003D4068" w:rsidP="00A23337">
            <w:pPr>
              <w:rPr>
                <w:rFonts w:asciiTheme="minorHAnsi" w:hAnsiTheme="minorHAnsi"/>
                <w:sz w:val="22"/>
                <w:szCs w:val="22"/>
                <w:lang w:val="en-IN"/>
              </w:rPr>
            </w:pPr>
            <w:r>
              <w:rPr>
                <w:rFonts w:asciiTheme="minorHAnsi" w:hAnsiTheme="minorHAnsi"/>
                <w:sz w:val="22"/>
                <w:szCs w:val="22"/>
                <w:lang w:val="en-IN"/>
              </w:rPr>
              <w:t>28 December 2022</w:t>
            </w:r>
          </w:p>
        </w:tc>
      </w:tr>
      <w:tr w:rsidR="003D4068" w:rsidRPr="00317D78" w14:paraId="2E7671DA" w14:textId="77777777" w:rsidTr="00A23337">
        <w:tc>
          <w:tcPr>
            <w:tcW w:w="3119" w:type="dxa"/>
          </w:tcPr>
          <w:p w14:paraId="6CC8EDEA" w14:textId="77777777" w:rsidR="003D4068" w:rsidRPr="00317D78" w:rsidRDefault="003D4068" w:rsidP="00A23337">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Relevant Organization</w:t>
            </w:r>
          </w:p>
        </w:tc>
        <w:tc>
          <w:tcPr>
            <w:tcW w:w="4768" w:type="dxa"/>
          </w:tcPr>
          <w:p w14:paraId="735C13F4" w14:textId="77777777" w:rsidR="003D4068" w:rsidRPr="00E67BC0" w:rsidRDefault="003D4068" w:rsidP="00A23337">
            <w:pPr>
              <w:rPr>
                <w:rFonts w:asciiTheme="minorHAnsi" w:hAnsiTheme="minorHAnsi"/>
                <w:color w:val="000000"/>
                <w:sz w:val="22"/>
                <w:szCs w:val="22"/>
                <w:lang w:val="en-IN"/>
              </w:rPr>
            </w:pPr>
            <w:r>
              <w:rPr>
                <w:rFonts w:asciiTheme="minorHAnsi" w:hAnsiTheme="minorHAnsi"/>
                <w:color w:val="000000"/>
                <w:sz w:val="22"/>
                <w:szCs w:val="22"/>
                <w:lang w:val="en-IN"/>
              </w:rPr>
              <w:t>AEPC / SRTEPC / TEXPROCIL</w:t>
            </w:r>
          </w:p>
        </w:tc>
      </w:tr>
      <w:tr w:rsidR="003D4068" w:rsidRPr="00317D78" w14:paraId="1993AC7E" w14:textId="77777777" w:rsidTr="00A23337">
        <w:tc>
          <w:tcPr>
            <w:tcW w:w="3119" w:type="dxa"/>
          </w:tcPr>
          <w:p w14:paraId="10FA7591" w14:textId="77777777" w:rsidR="003D4068" w:rsidRPr="00317D78" w:rsidRDefault="003D4068" w:rsidP="00A23337">
            <w:pPr>
              <w:rPr>
                <w:rFonts w:asciiTheme="minorHAnsi" w:hAnsiTheme="minorHAnsi" w:cstheme="minorHAnsi"/>
                <w:b/>
                <w:bCs/>
                <w:sz w:val="22"/>
                <w:szCs w:val="22"/>
                <w:lang w:val="en-IN"/>
              </w:rPr>
            </w:pPr>
            <w:r w:rsidRPr="00317D78">
              <w:rPr>
                <w:rFonts w:asciiTheme="minorHAnsi" w:hAnsiTheme="minorHAnsi" w:cstheme="minorHAnsi"/>
                <w:b/>
                <w:bCs/>
                <w:sz w:val="22"/>
                <w:szCs w:val="22"/>
                <w:lang w:val="en-IN"/>
              </w:rPr>
              <w:t>Folder Link</w:t>
            </w:r>
          </w:p>
        </w:tc>
        <w:tc>
          <w:tcPr>
            <w:tcW w:w="4768" w:type="dxa"/>
          </w:tcPr>
          <w:p w14:paraId="737CE615" w14:textId="77777777" w:rsidR="003D4068" w:rsidRPr="005C3BE3" w:rsidRDefault="00000000" w:rsidP="00A23337">
            <w:pPr>
              <w:rPr>
                <w:rFonts w:asciiTheme="minorHAnsi" w:hAnsiTheme="minorHAnsi" w:cstheme="minorHAnsi"/>
                <w:sz w:val="22"/>
                <w:szCs w:val="22"/>
                <w:lang w:val="en-IN"/>
              </w:rPr>
            </w:pPr>
            <w:hyperlink r:id="rId8">
              <w:r w:rsidR="003D4068" w:rsidRPr="005C3BE3">
                <w:rPr>
                  <w:rStyle w:val="Hyperlink"/>
                  <w:rFonts w:asciiTheme="minorHAnsi" w:hAnsiTheme="minorHAnsi" w:cstheme="minorHAnsi"/>
                  <w:sz w:val="22"/>
                  <w:szCs w:val="22"/>
                </w:rPr>
                <w:t>Link</w:t>
              </w:r>
            </w:hyperlink>
          </w:p>
        </w:tc>
      </w:tr>
    </w:tbl>
    <w:p w14:paraId="514D10CD" w14:textId="77777777" w:rsidR="003D4068" w:rsidRPr="00E91517" w:rsidRDefault="003D4068" w:rsidP="003D4068">
      <w:pPr>
        <w:pStyle w:val="Header"/>
        <w:rPr>
          <w:rFonts w:asciiTheme="minorHAnsi" w:hAnsiTheme="minorHAnsi" w:cstheme="minorHAnsi"/>
          <w:sz w:val="22"/>
          <w:szCs w:val="22"/>
        </w:rPr>
      </w:pPr>
    </w:p>
    <w:p w14:paraId="148A56B3" w14:textId="77777777" w:rsidR="003D4068" w:rsidRPr="00E415D2" w:rsidRDefault="003D4068" w:rsidP="003D4068">
      <w:pPr>
        <w:rPr>
          <w:rFonts w:asciiTheme="minorHAnsi" w:hAnsiTheme="minorHAnsi" w:cstheme="minorHAnsi"/>
        </w:rPr>
      </w:pPr>
      <w:r w:rsidRPr="46BF609B">
        <w:rPr>
          <w:rFonts w:asciiTheme="minorHAnsi" w:hAnsiTheme="minorHAnsi"/>
          <w:b/>
          <w:bCs/>
        </w:rPr>
        <w:t>Proposal in brief</w:t>
      </w:r>
    </w:p>
    <w:p w14:paraId="1A2CDCC8" w14:textId="77777777" w:rsidR="003D4068" w:rsidRDefault="003D4068" w:rsidP="003D4068">
      <w:pPr>
        <w:pStyle w:val="ListParagraph"/>
        <w:numPr>
          <w:ilvl w:val="0"/>
          <w:numId w:val="6"/>
        </w:numPr>
        <w:spacing w:line="276" w:lineRule="auto"/>
        <w:ind w:left="709"/>
        <w:jc w:val="both"/>
        <w:rPr>
          <w:rFonts w:asciiTheme="minorHAnsi" w:eastAsia="Calibri" w:hAnsiTheme="minorHAnsi" w:cstheme="minorHAnsi"/>
          <w:noProof/>
          <w:color w:val="000000" w:themeColor="text1"/>
        </w:rPr>
      </w:pPr>
      <w:r w:rsidRPr="002B79A1">
        <w:rPr>
          <w:rFonts w:asciiTheme="minorHAnsi" w:eastAsia="Calibri" w:hAnsiTheme="minorHAnsi" w:cstheme="minorHAnsi"/>
          <w:noProof/>
          <w:color w:val="000000" w:themeColor="text1"/>
        </w:rPr>
        <w:t>USA Consumer Product Safety Commission (CPSC) has issued an addendum to publish the final rule on “Substantial Product Hazard List: Win</w:t>
      </w:r>
      <w:r>
        <w:rPr>
          <w:rFonts w:asciiTheme="minorHAnsi" w:eastAsia="Calibri" w:hAnsiTheme="minorHAnsi" w:cstheme="minorHAnsi"/>
          <w:noProof/>
          <w:color w:val="000000" w:themeColor="text1"/>
        </w:rPr>
        <w:t>do</w:t>
      </w:r>
      <w:r w:rsidRPr="002B79A1">
        <w:rPr>
          <w:rFonts w:asciiTheme="minorHAnsi" w:eastAsia="Calibri" w:hAnsiTheme="minorHAnsi" w:cstheme="minorHAnsi"/>
          <w:noProof/>
          <w:color w:val="000000" w:themeColor="text1"/>
        </w:rPr>
        <w:t>w Co</w:t>
      </w:r>
      <w:r>
        <w:rPr>
          <w:rFonts w:asciiTheme="minorHAnsi" w:eastAsia="Calibri" w:hAnsiTheme="minorHAnsi" w:cstheme="minorHAnsi"/>
          <w:noProof/>
          <w:color w:val="000000" w:themeColor="text1"/>
        </w:rPr>
        <w:t>v</w:t>
      </w:r>
      <w:r w:rsidRPr="002B79A1">
        <w:rPr>
          <w:rFonts w:asciiTheme="minorHAnsi" w:eastAsia="Calibri" w:hAnsiTheme="minorHAnsi" w:cstheme="minorHAnsi"/>
          <w:noProof/>
          <w:color w:val="000000" w:themeColor="text1"/>
        </w:rPr>
        <w:t>ering Cords.”</w:t>
      </w:r>
    </w:p>
    <w:p w14:paraId="461EB0A2" w14:textId="77777777" w:rsidR="003D4068" w:rsidRDefault="003D4068" w:rsidP="003D4068">
      <w:pPr>
        <w:pStyle w:val="ListParagraph"/>
        <w:numPr>
          <w:ilvl w:val="0"/>
          <w:numId w:val="6"/>
        </w:numPr>
        <w:spacing w:line="276" w:lineRule="auto"/>
        <w:ind w:left="709"/>
        <w:jc w:val="both"/>
        <w:rPr>
          <w:rFonts w:asciiTheme="minorHAnsi" w:eastAsia="Calibri" w:hAnsiTheme="minorHAnsi" w:cstheme="minorHAnsi"/>
          <w:noProof/>
          <w:color w:val="000000" w:themeColor="text1"/>
        </w:rPr>
      </w:pPr>
      <w:r w:rsidRPr="002B79A1">
        <w:rPr>
          <w:rFonts w:asciiTheme="minorHAnsi" w:eastAsia="Calibri" w:hAnsiTheme="minorHAnsi" w:cstheme="minorHAnsi"/>
          <w:noProof/>
          <w:color w:val="000000" w:themeColor="text1"/>
        </w:rPr>
        <w:t>The Commission deems three readily observable characteristics of stock window coverings a Substantial Product Hazard (SPH):</w:t>
      </w:r>
    </w:p>
    <w:p w14:paraId="226B17BC" w14:textId="77777777" w:rsidR="003D4068" w:rsidRDefault="003D4068" w:rsidP="003D4068">
      <w:pPr>
        <w:pStyle w:val="ListParagraph"/>
        <w:numPr>
          <w:ilvl w:val="1"/>
          <w:numId w:val="6"/>
        </w:numPr>
        <w:spacing w:line="276" w:lineRule="auto"/>
        <w:ind w:left="1134"/>
        <w:jc w:val="both"/>
        <w:rPr>
          <w:rFonts w:asciiTheme="minorHAnsi" w:eastAsia="Calibri" w:hAnsiTheme="minorHAnsi" w:cstheme="minorHAnsi"/>
          <w:noProof/>
          <w:color w:val="000000" w:themeColor="text1"/>
        </w:rPr>
      </w:pPr>
      <w:r w:rsidRPr="00CC6D4A">
        <w:rPr>
          <w:rFonts w:asciiTheme="minorHAnsi" w:eastAsia="Calibri" w:hAnsiTheme="minorHAnsi" w:cstheme="minorHAnsi"/>
          <w:noProof/>
          <w:color w:val="000000" w:themeColor="text1"/>
        </w:rPr>
        <w:t>presence of hazardous operating cords.</w:t>
      </w:r>
    </w:p>
    <w:p w14:paraId="017A5BD2" w14:textId="77777777" w:rsidR="003D4068" w:rsidRDefault="003D4068" w:rsidP="003D4068">
      <w:pPr>
        <w:pStyle w:val="ListParagraph"/>
        <w:numPr>
          <w:ilvl w:val="1"/>
          <w:numId w:val="6"/>
        </w:numPr>
        <w:spacing w:line="276" w:lineRule="auto"/>
        <w:ind w:left="1134"/>
        <w:jc w:val="both"/>
        <w:rPr>
          <w:rFonts w:asciiTheme="minorHAnsi" w:eastAsia="Calibri" w:hAnsiTheme="minorHAnsi" w:cstheme="minorHAnsi"/>
          <w:noProof/>
          <w:color w:val="000000" w:themeColor="text1"/>
        </w:rPr>
      </w:pPr>
      <w:r w:rsidRPr="00CC6D4A">
        <w:rPr>
          <w:rFonts w:asciiTheme="minorHAnsi" w:eastAsia="Calibri" w:hAnsiTheme="minorHAnsi" w:cstheme="minorHAnsi"/>
          <w:noProof/>
          <w:color w:val="000000" w:themeColor="text1"/>
        </w:rPr>
        <w:t>presence of hazardous inner cords.</w:t>
      </w:r>
    </w:p>
    <w:p w14:paraId="4E213691" w14:textId="77777777" w:rsidR="003D4068" w:rsidRDefault="003D4068" w:rsidP="003D4068">
      <w:pPr>
        <w:pStyle w:val="ListParagraph"/>
        <w:numPr>
          <w:ilvl w:val="1"/>
          <w:numId w:val="6"/>
        </w:numPr>
        <w:spacing w:line="276" w:lineRule="auto"/>
        <w:ind w:left="1134"/>
        <w:jc w:val="both"/>
        <w:rPr>
          <w:rFonts w:asciiTheme="minorHAnsi" w:eastAsia="Calibri" w:hAnsiTheme="minorHAnsi" w:cstheme="minorHAnsi"/>
          <w:noProof/>
          <w:color w:val="000000" w:themeColor="text1"/>
        </w:rPr>
      </w:pPr>
      <w:r w:rsidRPr="00CC6D4A">
        <w:rPr>
          <w:rFonts w:asciiTheme="minorHAnsi" w:eastAsia="Calibri" w:hAnsiTheme="minorHAnsi" w:cstheme="minorHAnsi"/>
          <w:noProof/>
          <w:color w:val="000000" w:themeColor="text1"/>
        </w:rPr>
        <w:t xml:space="preserve">absence of a required manufacturer label. </w:t>
      </w:r>
    </w:p>
    <w:p w14:paraId="6B374A1E" w14:textId="77777777" w:rsidR="003D4068" w:rsidRDefault="003D4068" w:rsidP="003D4068">
      <w:pPr>
        <w:pStyle w:val="ListParagraph"/>
        <w:numPr>
          <w:ilvl w:val="1"/>
          <w:numId w:val="6"/>
        </w:numPr>
        <w:spacing w:line="276" w:lineRule="auto"/>
        <w:ind w:left="1134"/>
        <w:jc w:val="both"/>
        <w:rPr>
          <w:rFonts w:asciiTheme="minorHAnsi" w:eastAsia="Calibri" w:hAnsiTheme="minorHAnsi" w:cstheme="minorHAnsi"/>
          <w:noProof/>
          <w:color w:val="000000" w:themeColor="text1"/>
        </w:rPr>
      </w:pPr>
      <w:r w:rsidRPr="00CC6D4A">
        <w:rPr>
          <w:rFonts w:asciiTheme="minorHAnsi" w:eastAsia="Calibri" w:hAnsiTheme="minorHAnsi" w:cstheme="minorHAnsi"/>
          <w:noProof/>
          <w:color w:val="000000" w:themeColor="text1"/>
        </w:rPr>
        <w:t xml:space="preserve">presence of hazardous inner cords; and </w:t>
      </w:r>
    </w:p>
    <w:p w14:paraId="4323465A" w14:textId="77777777" w:rsidR="003D4068" w:rsidRPr="00CC6D4A" w:rsidRDefault="003D4068" w:rsidP="003D4068">
      <w:pPr>
        <w:pStyle w:val="ListParagraph"/>
        <w:numPr>
          <w:ilvl w:val="1"/>
          <w:numId w:val="6"/>
        </w:numPr>
        <w:spacing w:line="276" w:lineRule="auto"/>
        <w:ind w:left="1134"/>
        <w:jc w:val="both"/>
        <w:rPr>
          <w:rFonts w:asciiTheme="minorHAnsi" w:eastAsia="Calibri" w:hAnsiTheme="minorHAnsi" w:cstheme="minorHAnsi"/>
          <w:noProof/>
          <w:color w:val="000000" w:themeColor="text1"/>
        </w:rPr>
      </w:pPr>
      <w:r w:rsidRPr="00CC6D4A">
        <w:rPr>
          <w:rFonts w:asciiTheme="minorHAnsi" w:eastAsia="Calibri" w:hAnsiTheme="minorHAnsi" w:cstheme="minorHAnsi"/>
          <w:noProof/>
          <w:color w:val="000000" w:themeColor="text1"/>
        </w:rPr>
        <w:t>absence of a required manufacturer label.</w:t>
      </w:r>
    </w:p>
    <w:p w14:paraId="3B4EC270" w14:textId="77777777" w:rsidR="003D4068" w:rsidRDefault="003D4068" w:rsidP="003D4068">
      <w:pPr>
        <w:pStyle w:val="ListParagraph"/>
        <w:numPr>
          <w:ilvl w:val="0"/>
          <w:numId w:val="6"/>
        </w:numPr>
        <w:spacing w:line="276" w:lineRule="auto"/>
        <w:ind w:left="709"/>
        <w:jc w:val="both"/>
        <w:rPr>
          <w:rFonts w:asciiTheme="minorHAnsi" w:eastAsia="Calibri" w:hAnsiTheme="minorHAnsi" w:cstheme="minorHAnsi"/>
          <w:noProof/>
          <w:color w:val="000000" w:themeColor="text1"/>
        </w:rPr>
      </w:pPr>
      <w:r w:rsidRPr="002B79A1">
        <w:rPr>
          <w:rFonts w:asciiTheme="minorHAnsi" w:eastAsia="Calibri" w:hAnsiTheme="minorHAnsi" w:cstheme="minorHAnsi"/>
          <w:noProof/>
          <w:color w:val="000000" w:themeColor="text1"/>
        </w:rPr>
        <w:t>Products which are deemed to be substantial Product Hazards are</w:t>
      </w:r>
      <w:r>
        <w:rPr>
          <w:rFonts w:asciiTheme="minorHAnsi" w:eastAsia="Calibri" w:hAnsiTheme="minorHAnsi" w:cstheme="minorHAnsi"/>
          <w:noProof/>
          <w:color w:val="000000" w:themeColor="text1"/>
        </w:rPr>
        <w:t xml:space="preserve"> as follows:</w:t>
      </w:r>
    </w:p>
    <w:tbl>
      <w:tblPr>
        <w:tblStyle w:val="TableGrid"/>
        <w:tblW w:w="9072" w:type="dxa"/>
        <w:tblInd w:w="421" w:type="dxa"/>
        <w:tblLook w:val="04A0" w:firstRow="1" w:lastRow="0" w:firstColumn="1" w:lastColumn="0" w:noHBand="0" w:noVBand="1"/>
      </w:tblPr>
      <w:tblGrid>
        <w:gridCol w:w="3543"/>
        <w:gridCol w:w="2468"/>
        <w:gridCol w:w="3061"/>
      </w:tblGrid>
      <w:tr w:rsidR="003D4068" w:rsidRPr="0007620E" w14:paraId="30BE5337" w14:textId="77777777" w:rsidTr="00A23337">
        <w:tc>
          <w:tcPr>
            <w:tcW w:w="3543" w:type="dxa"/>
          </w:tcPr>
          <w:p w14:paraId="57861110" w14:textId="77777777" w:rsidR="003D4068" w:rsidRPr="0007620E" w:rsidRDefault="003D4068" w:rsidP="00A23337">
            <w:pPr>
              <w:jc w:val="both"/>
              <w:rPr>
                <w:rFonts w:asciiTheme="minorHAnsi" w:eastAsia="Calibri" w:hAnsiTheme="minorHAnsi" w:cstheme="minorHAnsi"/>
                <w:b/>
                <w:bCs/>
                <w:noProof/>
                <w:color w:val="000000" w:themeColor="text1"/>
                <w:sz w:val="22"/>
                <w:szCs w:val="22"/>
              </w:rPr>
            </w:pPr>
            <w:r w:rsidRPr="0007620E">
              <w:rPr>
                <w:rFonts w:asciiTheme="minorHAnsi" w:eastAsia="Calibri" w:hAnsiTheme="minorHAnsi" w:cstheme="minorHAnsi"/>
                <w:b/>
                <w:bCs/>
                <w:noProof/>
                <w:color w:val="000000" w:themeColor="text1"/>
                <w:sz w:val="22"/>
                <w:szCs w:val="22"/>
              </w:rPr>
              <w:t>Stock Window covering section of the standard</w:t>
            </w:r>
          </w:p>
        </w:tc>
        <w:tc>
          <w:tcPr>
            <w:tcW w:w="2468" w:type="dxa"/>
          </w:tcPr>
          <w:p w14:paraId="4D496C80" w14:textId="77777777" w:rsidR="003D4068" w:rsidRPr="0007620E" w:rsidRDefault="003D4068" w:rsidP="00A23337">
            <w:pPr>
              <w:jc w:val="both"/>
              <w:rPr>
                <w:rFonts w:asciiTheme="minorHAnsi" w:eastAsia="Calibri" w:hAnsiTheme="minorHAnsi" w:cstheme="minorHAnsi"/>
                <w:b/>
                <w:bCs/>
                <w:noProof/>
                <w:color w:val="000000" w:themeColor="text1"/>
                <w:sz w:val="22"/>
                <w:szCs w:val="22"/>
              </w:rPr>
            </w:pPr>
            <w:r w:rsidRPr="0007620E">
              <w:rPr>
                <w:rFonts w:asciiTheme="minorHAnsi" w:eastAsia="Calibri" w:hAnsiTheme="minorHAnsi" w:cstheme="minorHAnsi"/>
                <w:b/>
                <w:bCs/>
                <w:noProof/>
                <w:color w:val="000000" w:themeColor="text1"/>
                <w:sz w:val="22"/>
                <w:szCs w:val="22"/>
              </w:rPr>
              <w:t>Readily observable characteristics</w:t>
            </w:r>
          </w:p>
        </w:tc>
        <w:tc>
          <w:tcPr>
            <w:tcW w:w="3061" w:type="dxa"/>
          </w:tcPr>
          <w:p w14:paraId="14D4549A" w14:textId="77777777" w:rsidR="003D4068" w:rsidRPr="0007620E" w:rsidRDefault="003D4068" w:rsidP="00A23337">
            <w:pPr>
              <w:jc w:val="both"/>
              <w:rPr>
                <w:rFonts w:asciiTheme="minorHAnsi" w:eastAsia="Calibri" w:hAnsiTheme="minorHAnsi" w:cstheme="minorHAnsi"/>
                <w:b/>
                <w:bCs/>
                <w:noProof/>
                <w:color w:val="000000" w:themeColor="text1"/>
                <w:sz w:val="22"/>
                <w:szCs w:val="22"/>
              </w:rPr>
            </w:pPr>
            <w:r w:rsidRPr="0007620E">
              <w:rPr>
                <w:rFonts w:asciiTheme="minorHAnsi" w:eastAsia="Calibri" w:hAnsiTheme="minorHAnsi" w:cstheme="minorHAnsi"/>
                <w:b/>
                <w:bCs/>
                <w:noProof/>
                <w:color w:val="000000" w:themeColor="text1"/>
                <w:sz w:val="22"/>
                <w:szCs w:val="22"/>
              </w:rPr>
              <w:t>Criterion</w:t>
            </w:r>
          </w:p>
        </w:tc>
      </w:tr>
      <w:tr w:rsidR="003D4068" w:rsidRPr="0007620E" w14:paraId="471B854D" w14:textId="77777777" w:rsidTr="00A23337">
        <w:trPr>
          <w:trHeight w:val="223"/>
        </w:trPr>
        <w:tc>
          <w:tcPr>
            <w:tcW w:w="9072" w:type="dxa"/>
            <w:gridSpan w:val="3"/>
            <w:tcBorders>
              <w:bottom w:val="nil"/>
            </w:tcBorders>
          </w:tcPr>
          <w:p w14:paraId="108B3276" w14:textId="77777777" w:rsidR="003D4068" w:rsidRPr="00364119" w:rsidRDefault="003D4068" w:rsidP="00A23337">
            <w:pPr>
              <w:jc w:val="center"/>
              <w:rPr>
                <w:rFonts w:asciiTheme="minorHAnsi" w:eastAsia="Calibri" w:hAnsiTheme="minorHAnsi" w:cstheme="minorHAnsi"/>
                <w:b/>
                <w:bCs/>
                <w:noProof/>
                <w:color w:val="000000" w:themeColor="text1"/>
                <w:sz w:val="22"/>
                <w:szCs w:val="22"/>
              </w:rPr>
            </w:pPr>
            <w:r w:rsidRPr="00364119">
              <w:rPr>
                <w:rFonts w:asciiTheme="minorHAnsi" w:eastAsia="Calibri" w:hAnsiTheme="minorHAnsi" w:cstheme="minorHAnsi"/>
                <w:b/>
                <w:bCs/>
                <w:noProof/>
                <w:color w:val="000000" w:themeColor="text1"/>
                <w:sz w:val="22"/>
                <w:szCs w:val="22"/>
              </w:rPr>
              <w:t>A. Operating Cord</w:t>
            </w:r>
          </w:p>
        </w:tc>
      </w:tr>
      <w:tr w:rsidR="003D4068" w:rsidRPr="0007620E" w14:paraId="1336B103" w14:textId="77777777" w:rsidTr="00A23337">
        <w:trPr>
          <w:trHeight w:val="806"/>
        </w:trPr>
        <w:tc>
          <w:tcPr>
            <w:tcW w:w="3543" w:type="dxa"/>
            <w:tcBorders>
              <w:bottom w:val="nil"/>
            </w:tcBorders>
          </w:tcPr>
          <w:p w14:paraId="05D5A9CD"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4.3.1.1 Cordless Operating System: ‘‘The product shall have no operating cords.’’</w:t>
            </w:r>
          </w:p>
        </w:tc>
        <w:tc>
          <w:tcPr>
            <w:tcW w:w="2468" w:type="dxa"/>
            <w:tcBorders>
              <w:bottom w:val="nil"/>
            </w:tcBorders>
          </w:tcPr>
          <w:p w14:paraId="70DFD43E"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Presence of the operating cord</w:t>
            </w:r>
          </w:p>
          <w:p w14:paraId="55DE4642" w14:textId="77777777" w:rsidR="003D4068" w:rsidRPr="0007620E" w:rsidRDefault="003D4068" w:rsidP="00A23337">
            <w:pPr>
              <w:jc w:val="both"/>
              <w:rPr>
                <w:rFonts w:asciiTheme="minorHAnsi" w:eastAsia="Calibri" w:hAnsiTheme="minorHAnsi" w:cstheme="minorHAnsi"/>
                <w:noProof/>
                <w:color w:val="000000" w:themeColor="text1"/>
                <w:sz w:val="22"/>
                <w:szCs w:val="22"/>
              </w:rPr>
            </w:pPr>
          </w:p>
        </w:tc>
        <w:tc>
          <w:tcPr>
            <w:tcW w:w="3061" w:type="dxa"/>
            <w:tcBorders>
              <w:bottom w:val="nil"/>
            </w:tcBorders>
          </w:tcPr>
          <w:p w14:paraId="4B3A3601"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(a) Not present or</w:t>
            </w:r>
          </w:p>
        </w:tc>
      </w:tr>
      <w:tr w:rsidR="003D4068" w:rsidRPr="0007620E" w14:paraId="09C58CC6" w14:textId="77777777" w:rsidTr="00A23337">
        <w:tc>
          <w:tcPr>
            <w:tcW w:w="3543" w:type="dxa"/>
            <w:tcBorders>
              <w:top w:val="nil"/>
              <w:bottom w:val="nil"/>
            </w:tcBorders>
          </w:tcPr>
          <w:p w14:paraId="3431821A"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4.3.1.2 Short Static or Access Cords: ‘‘The product shall have a Short Cord’’.</w:t>
            </w:r>
          </w:p>
        </w:tc>
        <w:tc>
          <w:tcPr>
            <w:tcW w:w="2468" w:type="dxa"/>
            <w:tcBorders>
              <w:top w:val="nil"/>
              <w:bottom w:val="nil"/>
            </w:tcBorders>
          </w:tcPr>
          <w:p w14:paraId="6A58FA42"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If present, measure the length in any position of the window covering</w:t>
            </w:r>
          </w:p>
        </w:tc>
        <w:tc>
          <w:tcPr>
            <w:tcW w:w="3061" w:type="dxa"/>
            <w:tcBorders>
              <w:top w:val="nil"/>
              <w:bottom w:val="nil"/>
            </w:tcBorders>
          </w:tcPr>
          <w:p w14:paraId="72859582"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(b) 8 inches or shorter or</w:t>
            </w:r>
          </w:p>
        </w:tc>
      </w:tr>
      <w:tr w:rsidR="003D4068" w:rsidRPr="0007620E" w14:paraId="4EA7D287" w14:textId="77777777" w:rsidTr="00A23337">
        <w:tc>
          <w:tcPr>
            <w:tcW w:w="3543" w:type="dxa"/>
            <w:tcBorders>
              <w:top w:val="nil"/>
              <w:bottom w:val="single" w:sz="4" w:space="0" w:color="auto"/>
            </w:tcBorders>
          </w:tcPr>
          <w:p w14:paraId="7AB634CF"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4.3.1.3 Inaccessible Operating Cords: ‘‘The operating cords shall be inaccessible as determined per the test requirements in Appendix C: Test Procedure for Accessible Cords’’.</w:t>
            </w:r>
          </w:p>
        </w:tc>
        <w:tc>
          <w:tcPr>
            <w:tcW w:w="2468" w:type="dxa"/>
            <w:tcBorders>
              <w:top w:val="nil"/>
              <w:bottom w:val="single" w:sz="4" w:space="0" w:color="auto"/>
            </w:tcBorders>
          </w:tcPr>
          <w:p w14:paraId="3B14E1D6"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If present and longer than 8 inches, observe whether accessible.</w:t>
            </w:r>
          </w:p>
        </w:tc>
        <w:tc>
          <w:tcPr>
            <w:tcW w:w="3061" w:type="dxa"/>
            <w:tcBorders>
              <w:top w:val="nil"/>
              <w:bottom w:val="single" w:sz="4" w:space="0" w:color="auto"/>
            </w:tcBorders>
          </w:tcPr>
          <w:p w14:paraId="2B28934E"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(c) Inaccessible using cord accessibility probe.</w:t>
            </w:r>
          </w:p>
        </w:tc>
      </w:tr>
      <w:tr w:rsidR="003D4068" w:rsidRPr="0007620E" w14:paraId="37D2F4ED" w14:textId="77777777" w:rsidTr="00A23337">
        <w:tc>
          <w:tcPr>
            <w:tcW w:w="9072" w:type="dxa"/>
            <w:gridSpan w:val="3"/>
            <w:tcBorders>
              <w:top w:val="single" w:sz="4" w:space="0" w:color="auto"/>
              <w:bottom w:val="nil"/>
            </w:tcBorders>
          </w:tcPr>
          <w:p w14:paraId="174471EB" w14:textId="77777777" w:rsidR="003D4068" w:rsidRPr="00364119" w:rsidRDefault="003D4068" w:rsidP="00A23337">
            <w:pPr>
              <w:jc w:val="center"/>
              <w:rPr>
                <w:rFonts w:asciiTheme="minorHAnsi" w:eastAsia="Calibri" w:hAnsiTheme="minorHAnsi" w:cstheme="minorHAnsi"/>
                <w:b/>
                <w:bCs/>
                <w:noProof/>
                <w:color w:val="000000" w:themeColor="text1"/>
                <w:sz w:val="22"/>
                <w:szCs w:val="22"/>
              </w:rPr>
            </w:pPr>
            <w:r w:rsidRPr="00364119">
              <w:rPr>
                <w:rFonts w:asciiTheme="minorHAnsi" w:eastAsia="Calibri" w:hAnsiTheme="minorHAnsi" w:cstheme="minorHAnsi"/>
                <w:b/>
                <w:bCs/>
                <w:noProof/>
                <w:color w:val="000000" w:themeColor="text1"/>
                <w:sz w:val="22"/>
                <w:szCs w:val="22"/>
              </w:rPr>
              <w:t>B. Inner Cord</w:t>
            </w:r>
          </w:p>
        </w:tc>
      </w:tr>
      <w:tr w:rsidR="003D4068" w:rsidRPr="0007620E" w14:paraId="52682677" w14:textId="77777777" w:rsidTr="00A23337">
        <w:tc>
          <w:tcPr>
            <w:tcW w:w="3543" w:type="dxa"/>
            <w:tcBorders>
              <w:top w:val="single" w:sz="4" w:space="0" w:color="auto"/>
              <w:bottom w:val="nil"/>
            </w:tcBorders>
          </w:tcPr>
          <w:p w14:paraId="330AF68C"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4.5 Inner Cords: ‘‘All products with inner cords must meet the requirements in Appendix C and Appendix D.’’ Appendix C. Test Procedure for Accessible Cords.</w:t>
            </w:r>
          </w:p>
        </w:tc>
        <w:tc>
          <w:tcPr>
            <w:tcW w:w="2468" w:type="dxa"/>
            <w:tcBorders>
              <w:top w:val="single" w:sz="4" w:space="0" w:color="auto"/>
              <w:bottom w:val="nil"/>
            </w:tcBorders>
          </w:tcPr>
          <w:p w14:paraId="46A13984"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If present, determine whether accessible.</w:t>
            </w:r>
          </w:p>
        </w:tc>
        <w:tc>
          <w:tcPr>
            <w:tcW w:w="3061" w:type="dxa"/>
            <w:tcBorders>
              <w:top w:val="single" w:sz="4" w:space="0" w:color="auto"/>
              <w:bottom w:val="nil"/>
            </w:tcBorders>
          </w:tcPr>
          <w:p w14:paraId="322862EF"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(a) Inaccessible using cord accessibility probe or</w:t>
            </w:r>
          </w:p>
        </w:tc>
      </w:tr>
      <w:tr w:rsidR="003D4068" w:rsidRPr="0007620E" w14:paraId="4621C565" w14:textId="77777777" w:rsidTr="00A23337">
        <w:tc>
          <w:tcPr>
            <w:tcW w:w="3543" w:type="dxa"/>
            <w:tcBorders>
              <w:top w:val="nil"/>
              <w:bottom w:val="single" w:sz="4" w:space="0" w:color="auto"/>
            </w:tcBorders>
          </w:tcPr>
          <w:p w14:paraId="0098938D"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Appendix D. Hazardous Loop Test Procedure ……………</w:t>
            </w:r>
          </w:p>
        </w:tc>
        <w:tc>
          <w:tcPr>
            <w:tcW w:w="2468" w:type="dxa"/>
            <w:tcBorders>
              <w:top w:val="nil"/>
              <w:bottom w:val="single" w:sz="4" w:space="0" w:color="auto"/>
            </w:tcBorders>
          </w:tcPr>
          <w:p w14:paraId="78614669"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If present, determine whether a child’s head can penetrate the opening.</w:t>
            </w:r>
          </w:p>
        </w:tc>
        <w:tc>
          <w:tcPr>
            <w:tcW w:w="3061" w:type="dxa"/>
            <w:tcBorders>
              <w:top w:val="nil"/>
              <w:bottom w:val="single" w:sz="4" w:space="0" w:color="auto"/>
            </w:tcBorders>
          </w:tcPr>
          <w:p w14:paraId="46D72135"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 xml:space="preserve">(b) Pull inner cord and measure to determine whether the opening is less than 17 inches. For 15(j) purposes, this is comparable to inserting a head </w:t>
            </w:r>
            <w:r w:rsidRPr="0007620E">
              <w:rPr>
                <w:rFonts w:asciiTheme="minorHAnsi" w:eastAsia="Calibri" w:hAnsiTheme="minorHAnsi" w:cstheme="minorHAnsi"/>
                <w:noProof/>
                <w:color w:val="000000" w:themeColor="text1"/>
                <w:sz w:val="22"/>
                <w:szCs w:val="22"/>
              </w:rPr>
              <w:lastRenderedPageBreak/>
              <w:t>probe with a force of 10 pounds.</w:t>
            </w:r>
          </w:p>
        </w:tc>
      </w:tr>
      <w:tr w:rsidR="003D4068" w:rsidRPr="0007620E" w14:paraId="17157BA8" w14:textId="77777777" w:rsidTr="00A23337">
        <w:tc>
          <w:tcPr>
            <w:tcW w:w="9072" w:type="dxa"/>
            <w:gridSpan w:val="3"/>
            <w:tcBorders>
              <w:top w:val="single" w:sz="4" w:space="0" w:color="auto"/>
            </w:tcBorders>
          </w:tcPr>
          <w:p w14:paraId="189E970D" w14:textId="77777777" w:rsidR="003D4068" w:rsidRPr="00364119" w:rsidRDefault="003D4068" w:rsidP="00A23337">
            <w:pPr>
              <w:jc w:val="center"/>
              <w:rPr>
                <w:rFonts w:asciiTheme="minorHAnsi" w:eastAsia="Calibri" w:hAnsiTheme="minorHAnsi" w:cstheme="minorHAnsi"/>
                <w:b/>
                <w:bCs/>
                <w:noProof/>
                <w:color w:val="000000" w:themeColor="text1"/>
                <w:sz w:val="22"/>
                <w:szCs w:val="22"/>
              </w:rPr>
            </w:pPr>
            <w:r w:rsidRPr="00364119">
              <w:rPr>
                <w:rFonts w:asciiTheme="minorHAnsi" w:eastAsia="Calibri" w:hAnsiTheme="minorHAnsi" w:cstheme="minorHAnsi"/>
                <w:b/>
                <w:bCs/>
                <w:noProof/>
                <w:color w:val="000000" w:themeColor="text1"/>
                <w:sz w:val="22"/>
                <w:szCs w:val="22"/>
              </w:rPr>
              <w:lastRenderedPageBreak/>
              <w:t>C. Manufacturer Label</w:t>
            </w:r>
          </w:p>
        </w:tc>
      </w:tr>
      <w:tr w:rsidR="003D4068" w:rsidRPr="0007620E" w14:paraId="15658ACD" w14:textId="77777777" w:rsidTr="00A23337">
        <w:tc>
          <w:tcPr>
            <w:tcW w:w="3543" w:type="dxa"/>
            <w:tcBorders>
              <w:top w:val="single" w:sz="4" w:space="0" w:color="auto"/>
            </w:tcBorders>
          </w:tcPr>
          <w:p w14:paraId="2E359CC5" w14:textId="77777777" w:rsidR="003D4068"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5.3 Manufacturer Label: There shall be a permanent label(s) or marking on all finished window covering products</w:t>
            </w:r>
          </w:p>
          <w:p w14:paraId="59CC0902" w14:textId="77777777" w:rsidR="003D4068" w:rsidRDefault="003D4068" w:rsidP="00A23337">
            <w:pPr>
              <w:rPr>
                <w:rFonts w:asciiTheme="minorHAnsi" w:eastAsia="Calibri" w:hAnsiTheme="minorHAnsi" w:cstheme="minorHAnsi"/>
                <w:noProof/>
                <w:color w:val="000000" w:themeColor="text1"/>
                <w:sz w:val="22"/>
                <w:szCs w:val="22"/>
              </w:rPr>
            </w:pPr>
          </w:p>
          <w:p w14:paraId="03826A98" w14:textId="77777777" w:rsidR="003D4068" w:rsidRPr="00364119" w:rsidRDefault="003D4068" w:rsidP="00A23337">
            <w:pPr>
              <w:tabs>
                <w:tab w:val="left" w:pos="2344"/>
              </w:tabs>
              <w:rPr>
                <w:rFonts w:asciiTheme="minorHAnsi" w:eastAsia="Calibri" w:hAnsiTheme="minorHAnsi" w:cstheme="minorHAnsi"/>
                <w:sz w:val="22"/>
                <w:szCs w:val="22"/>
              </w:rPr>
            </w:pPr>
            <w:r>
              <w:rPr>
                <w:rFonts w:asciiTheme="minorHAnsi" w:eastAsia="Calibri" w:hAnsiTheme="minorHAnsi" w:cstheme="minorHAnsi"/>
                <w:sz w:val="22"/>
                <w:szCs w:val="22"/>
              </w:rPr>
              <w:tab/>
            </w:r>
          </w:p>
        </w:tc>
        <w:tc>
          <w:tcPr>
            <w:tcW w:w="2468" w:type="dxa"/>
            <w:tcBorders>
              <w:top w:val="single" w:sz="4" w:space="0" w:color="auto"/>
            </w:tcBorders>
          </w:tcPr>
          <w:p w14:paraId="3D400D08"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Presence of a permanent label or marking within or on the headrail or on the roller tube.</w:t>
            </w:r>
          </w:p>
        </w:tc>
        <w:tc>
          <w:tcPr>
            <w:tcW w:w="3061" w:type="dxa"/>
            <w:tcBorders>
              <w:top w:val="single" w:sz="4" w:space="0" w:color="auto"/>
            </w:tcBorders>
          </w:tcPr>
          <w:p w14:paraId="5D40AE24" w14:textId="77777777" w:rsidR="003D4068" w:rsidRPr="0007620E" w:rsidRDefault="003D4068" w:rsidP="00A23337">
            <w:pPr>
              <w:jc w:val="both"/>
              <w:rPr>
                <w:rFonts w:asciiTheme="minorHAnsi" w:eastAsia="Calibri" w:hAnsiTheme="minorHAnsi" w:cstheme="minorHAnsi"/>
                <w:noProof/>
                <w:color w:val="000000" w:themeColor="text1"/>
                <w:sz w:val="22"/>
                <w:szCs w:val="22"/>
              </w:rPr>
            </w:pPr>
            <w:r w:rsidRPr="0007620E">
              <w:rPr>
                <w:rFonts w:asciiTheme="minorHAnsi" w:eastAsia="Calibri" w:hAnsiTheme="minorHAnsi" w:cstheme="minorHAnsi"/>
                <w:noProof/>
                <w:color w:val="000000" w:themeColor="text1"/>
                <w:sz w:val="22"/>
                <w:szCs w:val="22"/>
              </w:rPr>
              <w:t>Observe whether the label is present and contains the following: (a) The name, city, and state of the manufacturer/importer/ fabricator. (b) Month and year of manufacture. (c) Designation of window covering as ‘‘Custom’’ or ‘‘Stock.’’</w:t>
            </w:r>
          </w:p>
        </w:tc>
      </w:tr>
    </w:tbl>
    <w:p w14:paraId="738A8747" w14:textId="77777777" w:rsidR="003D4068" w:rsidRPr="002648EA" w:rsidRDefault="003D4068" w:rsidP="003D4068">
      <w:pPr>
        <w:pStyle w:val="ListParagraph"/>
        <w:numPr>
          <w:ilvl w:val="0"/>
          <w:numId w:val="6"/>
        </w:numPr>
        <w:spacing w:line="276" w:lineRule="auto"/>
        <w:ind w:left="709"/>
        <w:jc w:val="both"/>
        <w:rPr>
          <w:rFonts w:asciiTheme="minorHAnsi" w:eastAsia="Calibri" w:hAnsiTheme="minorHAnsi" w:cstheme="minorHAnsi"/>
          <w:noProof/>
          <w:color w:val="000000" w:themeColor="text1"/>
        </w:rPr>
      </w:pPr>
      <w:r>
        <w:rPr>
          <w:rFonts w:asciiTheme="minorHAnsi" w:eastAsia="Calibri" w:hAnsiTheme="minorHAnsi" w:cstheme="minorHAnsi"/>
          <w:noProof/>
          <w:color w:val="000000" w:themeColor="text1"/>
        </w:rPr>
        <w:t>This final rule shall came into effect on 28 December 2022.</w:t>
      </w:r>
    </w:p>
    <w:p w14:paraId="2474A076" w14:textId="77777777" w:rsidR="003D4068" w:rsidRPr="008C57B4" w:rsidRDefault="003D4068" w:rsidP="003D4068">
      <w:pPr>
        <w:spacing w:line="276" w:lineRule="auto"/>
        <w:jc w:val="both"/>
        <w:rPr>
          <w:rFonts w:asciiTheme="minorHAnsi" w:eastAsia="Calibri" w:hAnsiTheme="minorHAnsi" w:cstheme="minorHAnsi"/>
          <w:noProof/>
          <w:color w:val="000000" w:themeColor="text1"/>
        </w:rPr>
      </w:pPr>
      <w:r w:rsidRPr="008C57B4">
        <w:rPr>
          <w:rFonts w:ascii="Calibri" w:eastAsia="Calibri" w:hAnsi="Calibri" w:cs="Calibri"/>
          <w:b/>
          <w:bCs/>
          <w:noProof/>
          <w:color w:val="000000" w:themeColor="text1"/>
        </w:rPr>
        <w:t>Analysis</w:t>
      </w:r>
    </w:p>
    <w:p w14:paraId="293C9779" w14:textId="77777777" w:rsidR="003D4068" w:rsidRPr="00160E4D" w:rsidRDefault="003D4068" w:rsidP="003D4068">
      <w:pPr>
        <w:pStyle w:val="ListParagraph"/>
        <w:numPr>
          <w:ilvl w:val="0"/>
          <w:numId w:val="3"/>
        </w:numPr>
        <w:spacing w:line="276" w:lineRule="auto"/>
        <w:ind w:left="709"/>
        <w:jc w:val="both"/>
        <w:rPr>
          <w:rFonts w:asciiTheme="minorHAnsi" w:eastAsiaTheme="minorEastAsia" w:hAnsiTheme="minorHAnsi" w:cstheme="minorHAnsi"/>
          <w:lang w:val="en-US"/>
        </w:rPr>
      </w:pPr>
      <w:r>
        <w:rPr>
          <w:rFonts w:asciiTheme="minorHAnsi" w:eastAsiaTheme="minorEastAsia" w:hAnsiTheme="minorHAnsi" w:cstheme="minorHAnsi"/>
          <w:lang w:val="en-US"/>
        </w:rPr>
        <w:t>The said rule does not seem to have adverse impact on the stakeholders. However, the stakeholders may be kept updated with the developments.</w:t>
      </w:r>
    </w:p>
    <w:p w14:paraId="148BD72C" w14:textId="77777777" w:rsidR="003D4068" w:rsidRPr="00937B72" w:rsidRDefault="003D4068" w:rsidP="003D4068">
      <w:pPr>
        <w:jc w:val="both"/>
        <w:rPr>
          <w:rFonts w:ascii="Calibri" w:eastAsia="Calibri" w:hAnsi="Calibri" w:cs="Calibri"/>
          <w:noProof/>
          <w:color w:val="000000" w:themeColor="text1"/>
        </w:rPr>
      </w:pPr>
      <w:r w:rsidRPr="00937B72">
        <w:rPr>
          <w:rFonts w:ascii="Calibri" w:eastAsia="Calibri" w:hAnsi="Calibri" w:cs="Calibri"/>
          <w:b/>
          <w:bCs/>
          <w:noProof/>
          <w:color w:val="000000" w:themeColor="text1"/>
        </w:rPr>
        <w:t>Action Points</w:t>
      </w:r>
    </w:p>
    <w:p w14:paraId="6A3C247E" w14:textId="51A75A16" w:rsidR="003D4068" w:rsidRPr="003D4068" w:rsidRDefault="003D4068" w:rsidP="003D4068">
      <w:pPr>
        <w:pStyle w:val="ListParagraph"/>
        <w:numPr>
          <w:ilvl w:val="0"/>
          <w:numId w:val="3"/>
        </w:numPr>
        <w:spacing w:line="276" w:lineRule="auto"/>
        <w:ind w:left="709"/>
        <w:jc w:val="both"/>
        <w:rPr>
          <w:rFonts w:asciiTheme="minorHAnsi" w:eastAsia="Calibri" w:hAnsiTheme="minorHAnsi" w:cstheme="minorHAnsi"/>
          <w:noProof/>
          <w:color w:val="000000" w:themeColor="text1"/>
        </w:rPr>
      </w:pPr>
      <w:r w:rsidRPr="00F70AA0">
        <w:rPr>
          <w:rFonts w:asciiTheme="minorHAnsi" w:eastAsia="Calibri" w:hAnsiTheme="minorHAnsi" w:cstheme="minorHAnsi"/>
          <w:b/>
          <w:bCs/>
          <w:noProof/>
          <w:color w:val="000000" w:themeColor="text1"/>
        </w:rPr>
        <w:t>For Sarvada:</w:t>
      </w:r>
      <w:r w:rsidRPr="00F70AA0">
        <w:rPr>
          <w:rFonts w:asciiTheme="minorHAnsi" w:eastAsia="Calibri" w:hAnsiTheme="minorHAnsi" w:cstheme="minorHAnsi"/>
          <w:noProof/>
          <w:color w:val="000000" w:themeColor="text1"/>
        </w:rPr>
        <w:t xml:space="preserve"> Sarvada is disseminating the information to the stakeholders in its list. The email/s are copied to EIC and  DOC</w:t>
      </w:r>
      <w:r>
        <w:rPr>
          <w:rFonts w:asciiTheme="minorHAnsi" w:eastAsia="Calibri" w:hAnsiTheme="minorHAnsi" w:cstheme="minorHAnsi"/>
          <w:noProof/>
          <w:color w:val="000000" w:themeColor="text1"/>
        </w:rPr>
        <w:t>.</w:t>
      </w:r>
    </w:p>
    <w:sectPr w:rsidR="003D4068" w:rsidRPr="003D40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9792" w14:textId="77777777" w:rsidR="003C3BFA" w:rsidRDefault="003C3BFA" w:rsidP="003D4068">
      <w:pPr>
        <w:spacing w:after="0" w:line="240" w:lineRule="auto"/>
      </w:pPr>
      <w:r>
        <w:separator/>
      </w:r>
    </w:p>
  </w:endnote>
  <w:endnote w:type="continuationSeparator" w:id="0">
    <w:p w14:paraId="6740EB97" w14:textId="77777777" w:rsidR="003C3BFA" w:rsidRDefault="003C3BFA" w:rsidP="003D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F099" w14:textId="77777777" w:rsidR="003C3BFA" w:rsidRDefault="003C3BFA" w:rsidP="003D4068">
      <w:pPr>
        <w:spacing w:after="0" w:line="240" w:lineRule="auto"/>
      </w:pPr>
      <w:r>
        <w:separator/>
      </w:r>
    </w:p>
  </w:footnote>
  <w:footnote w:type="continuationSeparator" w:id="0">
    <w:p w14:paraId="0D994BF2" w14:textId="77777777" w:rsidR="003C3BFA" w:rsidRDefault="003C3BFA" w:rsidP="003D4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A942"/>
    <w:multiLevelType w:val="hybridMultilevel"/>
    <w:tmpl w:val="A412F182"/>
    <w:lvl w:ilvl="0" w:tplc="ABDEE54A">
      <w:start w:val="1"/>
      <w:numFmt w:val="bullet"/>
      <w:lvlText w:val=""/>
      <w:lvlJc w:val="left"/>
      <w:pPr>
        <w:ind w:left="720" w:hanging="360"/>
      </w:pPr>
      <w:rPr>
        <w:rFonts w:ascii="Symbol" w:hAnsi="Symbol" w:hint="default"/>
      </w:rPr>
    </w:lvl>
    <w:lvl w:ilvl="1" w:tplc="E6387E50">
      <w:start w:val="1"/>
      <w:numFmt w:val="bullet"/>
      <w:lvlText w:val="o"/>
      <w:lvlJc w:val="left"/>
      <w:pPr>
        <w:ind w:left="1440" w:hanging="360"/>
      </w:pPr>
      <w:rPr>
        <w:rFonts w:ascii="Courier New" w:hAnsi="Courier New" w:hint="default"/>
      </w:rPr>
    </w:lvl>
    <w:lvl w:ilvl="2" w:tplc="257418C2">
      <w:start w:val="1"/>
      <w:numFmt w:val="bullet"/>
      <w:lvlText w:val=""/>
      <w:lvlJc w:val="left"/>
      <w:pPr>
        <w:ind w:left="2160" w:hanging="360"/>
      </w:pPr>
      <w:rPr>
        <w:rFonts w:ascii="Wingdings" w:hAnsi="Wingdings" w:hint="default"/>
      </w:rPr>
    </w:lvl>
    <w:lvl w:ilvl="3" w:tplc="54AE1B80">
      <w:start w:val="1"/>
      <w:numFmt w:val="bullet"/>
      <w:lvlText w:val=""/>
      <w:lvlJc w:val="left"/>
      <w:pPr>
        <w:ind w:left="2880" w:hanging="360"/>
      </w:pPr>
      <w:rPr>
        <w:rFonts w:ascii="Symbol" w:hAnsi="Symbol" w:hint="default"/>
      </w:rPr>
    </w:lvl>
    <w:lvl w:ilvl="4" w:tplc="6E3C95E4">
      <w:start w:val="1"/>
      <w:numFmt w:val="bullet"/>
      <w:lvlText w:val="o"/>
      <w:lvlJc w:val="left"/>
      <w:pPr>
        <w:ind w:left="3600" w:hanging="360"/>
      </w:pPr>
      <w:rPr>
        <w:rFonts w:ascii="Courier New" w:hAnsi="Courier New" w:hint="default"/>
      </w:rPr>
    </w:lvl>
    <w:lvl w:ilvl="5" w:tplc="AF16519A">
      <w:start w:val="1"/>
      <w:numFmt w:val="bullet"/>
      <w:lvlText w:val=""/>
      <w:lvlJc w:val="left"/>
      <w:pPr>
        <w:ind w:left="4320" w:hanging="360"/>
      </w:pPr>
      <w:rPr>
        <w:rFonts w:ascii="Wingdings" w:hAnsi="Wingdings" w:hint="default"/>
      </w:rPr>
    </w:lvl>
    <w:lvl w:ilvl="6" w:tplc="F07A3D46">
      <w:start w:val="1"/>
      <w:numFmt w:val="bullet"/>
      <w:lvlText w:val=""/>
      <w:lvlJc w:val="left"/>
      <w:pPr>
        <w:ind w:left="5040" w:hanging="360"/>
      </w:pPr>
      <w:rPr>
        <w:rFonts w:ascii="Symbol" w:hAnsi="Symbol" w:hint="default"/>
      </w:rPr>
    </w:lvl>
    <w:lvl w:ilvl="7" w:tplc="3182CB3A">
      <w:start w:val="1"/>
      <w:numFmt w:val="bullet"/>
      <w:lvlText w:val="o"/>
      <w:lvlJc w:val="left"/>
      <w:pPr>
        <w:ind w:left="5760" w:hanging="360"/>
      </w:pPr>
      <w:rPr>
        <w:rFonts w:ascii="Courier New" w:hAnsi="Courier New" w:hint="default"/>
      </w:rPr>
    </w:lvl>
    <w:lvl w:ilvl="8" w:tplc="04AEC80A">
      <w:start w:val="1"/>
      <w:numFmt w:val="bullet"/>
      <w:lvlText w:val=""/>
      <w:lvlJc w:val="left"/>
      <w:pPr>
        <w:ind w:left="6480" w:hanging="360"/>
      </w:pPr>
      <w:rPr>
        <w:rFonts w:ascii="Wingdings" w:hAnsi="Wingdings" w:hint="default"/>
      </w:rPr>
    </w:lvl>
  </w:abstractNum>
  <w:abstractNum w:abstractNumId="1" w15:restartNumberingAfterBreak="0">
    <w:nsid w:val="0234286D"/>
    <w:multiLevelType w:val="hybridMultilevel"/>
    <w:tmpl w:val="AE242570"/>
    <w:lvl w:ilvl="0" w:tplc="89B2EE62">
      <w:start w:val="1"/>
      <w:numFmt w:val="decimal"/>
      <w:pStyle w:val="Heading2"/>
      <w:lvlText w:val="%1."/>
      <w:lvlJc w:val="left"/>
      <w:pPr>
        <w:ind w:left="5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99C325"/>
    <w:multiLevelType w:val="hybridMultilevel"/>
    <w:tmpl w:val="9CA4D85C"/>
    <w:lvl w:ilvl="0" w:tplc="E29AE07A">
      <w:start w:val="1"/>
      <w:numFmt w:val="lowerLetter"/>
      <w:lvlText w:val="%1."/>
      <w:lvlJc w:val="left"/>
      <w:pPr>
        <w:ind w:left="720" w:hanging="360"/>
      </w:pPr>
    </w:lvl>
    <w:lvl w:ilvl="1" w:tplc="4D763918">
      <w:start w:val="1"/>
      <w:numFmt w:val="lowerLetter"/>
      <w:lvlText w:val="%2."/>
      <w:lvlJc w:val="left"/>
      <w:pPr>
        <w:ind w:left="1440" w:hanging="360"/>
      </w:pPr>
    </w:lvl>
    <w:lvl w:ilvl="2" w:tplc="A98CCFDC">
      <w:start w:val="1"/>
      <w:numFmt w:val="lowerRoman"/>
      <w:lvlText w:val="%3."/>
      <w:lvlJc w:val="right"/>
      <w:pPr>
        <w:ind w:left="2160" w:hanging="180"/>
      </w:pPr>
    </w:lvl>
    <w:lvl w:ilvl="3" w:tplc="B5B69218">
      <w:start w:val="1"/>
      <w:numFmt w:val="decimal"/>
      <w:lvlText w:val="%4."/>
      <w:lvlJc w:val="left"/>
      <w:pPr>
        <w:ind w:left="2880" w:hanging="360"/>
      </w:pPr>
    </w:lvl>
    <w:lvl w:ilvl="4" w:tplc="3BBAB86E">
      <w:start w:val="1"/>
      <w:numFmt w:val="lowerLetter"/>
      <w:lvlText w:val="%5."/>
      <w:lvlJc w:val="left"/>
      <w:pPr>
        <w:ind w:left="3600" w:hanging="360"/>
      </w:pPr>
    </w:lvl>
    <w:lvl w:ilvl="5" w:tplc="FB0A5FA8">
      <w:start w:val="1"/>
      <w:numFmt w:val="lowerRoman"/>
      <w:lvlText w:val="%6."/>
      <w:lvlJc w:val="right"/>
      <w:pPr>
        <w:ind w:left="4320" w:hanging="180"/>
      </w:pPr>
    </w:lvl>
    <w:lvl w:ilvl="6" w:tplc="3ADA381C">
      <w:start w:val="1"/>
      <w:numFmt w:val="decimal"/>
      <w:lvlText w:val="%7."/>
      <w:lvlJc w:val="left"/>
      <w:pPr>
        <w:ind w:left="5040" w:hanging="360"/>
      </w:pPr>
    </w:lvl>
    <w:lvl w:ilvl="7" w:tplc="0324E556">
      <w:start w:val="1"/>
      <w:numFmt w:val="lowerLetter"/>
      <w:lvlText w:val="%8."/>
      <w:lvlJc w:val="left"/>
      <w:pPr>
        <w:ind w:left="5760" w:hanging="360"/>
      </w:pPr>
    </w:lvl>
    <w:lvl w:ilvl="8" w:tplc="90C6855A">
      <w:start w:val="1"/>
      <w:numFmt w:val="lowerRoman"/>
      <w:lvlText w:val="%9."/>
      <w:lvlJc w:val="right"/>
      <w:pPr>
        <w:ind w:left="6480" w:hanging="180"/>
      </w:pPr>
    </w:lvl>
  </w:abstractNum>
  <w:abstractNum w:abstractNumId="3" w15:restartNumberingAfterBreak="0">
    <w:nsid w:val="3725D002"/>
    <w:multiLevelType w:val="hybridMultilevel"/>
    <w:tmpl w:val="E9643220"/>
    <w:lvl w:ilvl="0" w:tplc="4AB2F1C8">
      <w:start w:val="1"/>
      <w:numFmt w:val="bullet"/>
      <w:lvlText w:val=""/>
      <w:lvlJc w:val="left"/>
      <w:pPr>
        <w:ind w:left="720" w:hanging="360"/>
      </w:pPr>
      <w:rPr>
        <w:rFonts w:ascii="Symbol" w:hAnsi="Symbol" w:hint="default"/>
      </w:rPr>
    </w:lvl>
    <w:lvl w:ilvl="1" w:tplc="08D65B7C">
      <w:start w:val="1"/>
      <w:numFmt w:val="bullet"/>
      <w:lvlText w:val="o"/>
      <w:lvlJc w:val="left"/>
      <w:pPr>
        <w:ind w:left="1440" w:hanging="360"/>
      </w:pPr>
      <w:rPr>
        <w:rFonts w:ascii="Courier New" w:hAnsi="Courier New" w:hint="default"/>
      </w:rPr>
    </w:lvl>
    <w:lvl w:ilvl="2" w:tplc="23EA4E2A">
      <w:start w:val="1"/>
      <w:numFmt w:val="bullet"/>
      <w:lvlText w:val=""/>
      <w:lvlJc w:val="left"/>
      <w:pPr>
        <w:ind w:left="2160" w:hanging="360"/>
      </w:pPr>
      <w:rPr>
        <w:rFonts w:ascii="Wingdings" w:hAnsi="Wingdings" w:hint="default"/>
      </w:rPr>
    </w:lvl>
    <w:lvl w:ilvl="3" w:tplc="2AEABF82">
      <w:start w:val="1"/>
      <w:numFmt w:val="bullet"/>
      <w:lvlText w:val=""/>
      <w:lvlJc w:val="left"/>
      <w:pPr>
        <w:ind w:left="2880" w:hanging="360"/>
      </w:pPr>
      <w:rPr>
        <w:rFonts w:ascii="Symbol" w:hAnsi="Symbol" w:hint="default"/>
      </w:rPr>
    </w:lvl>
    <w:lvl w:ilvl="4" w:tplc="9A20669C">
      <w:start w:val="1"/>
      <w:numFmt w:val="bullet"/>
      <w:lvlText w:val="o"/>
      <w:lvlJc w:val="left"/>
      <w:pPr>
        <w:ind w:left="3600" w:hanging="360"/>
      </w:pPr>
      <w:rPr>
        <w:rFonts w:ascii="Courier New" w:hAnsi="Courier New" w:hint="default"/>
      </w:rPr>
    </w:lvl>
    <w:lvl w:ilvl="5" w:tplc="05420C2A">
      <w:start w:val="1"/>
      <w:numFmt w:val="bullet"/>
      <w:lvlText w:val=""/>
      <w:lvlJc w:val="left"/>
      <w:pPr>
        <w:ind w:left="4320" w:hanging="360"/>
      </w:pPr>
      <w:rPr>
        <w:rFonts w:ascii="Wingdings" w:hAnsi="Wingdings" w:hint="default"/>
      </w:rPr>
    </w:lvl>
    <w:lvl w:ilvl="6" w:tplc="ECCE2B18">
      <w:start w:val="1"/>
      <w:numFmt w:val="bullet"/>
      <w:lvlText w:val=""/>
      <w:lvlJc w:val="left"/>
      <w:pPr>
        <w:ind w:left="5040" w:hanging="360"/>
      </w:pPr>
      <w:rPr>
        <w:rFonts w:ascii="Symbol" w:hAnsi="Symbol" w:hint="default"/>
      </w:rPr>
    </w:lvl>
    <w:lvl w:ilvl="7" w:tplc="94B20814">
      <w:start w:val="1"/>
      <w:numFmt w:val="bullet"/>
      <w:lvlText w:val="o"/>
      <w:lvlJc w:val="left"/>
      <w:pPr>
        <w:ind w:left="5760" w:hanging="360"/>
      </w:pPr>
      <w:rPr>
        <w:rFonts w:ascii="Courier New" w:hAnsi="Courier New" w:hint="default"/>
      </w:rPr>
    </w:lvl>
    <w:lvl w:ilvl="8" w:tplc="26A846B4">
      <w:start w:val="1"/>
      <w:numFmt w:val="bullet"/>
      <w:lvlText w:val=""/>
      <w:lvlJc w:val="left"/>
      <w:pPr>
        <w:ind w:left="6480" w:hanging="360"/>
      </w:pPr>
      <w:rPr>
        <w:rFonts w:ascii="Wingdings" w:hAnsi="Wingdings" w:hint="default"/>
      </w:rPr>
    </w:lvl>
  </w:abstractNum>
  <w:abstractNum w:abstractNumId="4" w15:restartNumberingAfterBreak="0">
    <w:nsid w:val="48496872"/>
    <w:multiLevelType w:val="hybridMultilevel"/>
    <w:tmpl w:val="102014AE"/>
    <w:lvl w:ilvl="0" w:tplc="FFFFFFFF">
      <w:start w:val="1"/>
      <w:numFmt w:val="lowerLetter"/>
      <w:lvlText w:val="%1."/>
      <w:lvlJc w:val="left"/>
      <w:pPr>
        <w:ind w:left="720" w:hanging="360"/>
      </w:pPr>
      <w:rPr>
        <w:b w:val="0"/>
        <w:bCs w:val="0"/>
      </w:rPr>
    </w:lvl>
    <w:lvl w:ilvl="1" w:tplc="D6DE86DA">
      <w:start w:val="1"/>
      <w:numFmt w:val="decimal"/>
      <w:lvlText w:val="%2."/>
      <w:lvlJc w:val="left"/>
      <w:pPr>
        <w:ind w:left="1440" w:hanging="360"/>
      </w:pPr>
      <w:rPr>
        <w:rFonts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420D5B"/>
    <w:multiLevelType w:val="multilevel"/>
    <w:tmpl w:val="18002A60"/>
    <w:lvl w:ilvl="0">
      <w:start w:val="1"/>
      <w:numFmt w:val="lowerLetter"/>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3620204">
    <w:abstractNumId w:val="3"/>
  </w:num>
  <w:num w:numId="2" w16cid:durableId="1225917773">
    <w:abstractNumId w:val="1"/>
  </w:num>
  <w:num w:numId="3" w16cid:durableId="375157316">
    <w:abstractNumId w:val="0"/>
  </w:num>
  <w:num w:numId="4" w16cid:durableId="1778981439">
    <w:abstractNumId w:val="4"/>
  </w:num>
  <w:num w:numId="5" w16cid:durableId="188493619">
    <w:abstractNumId w:val="2"/>
  </w:num>
  <w:num w:numId="6" w16cid:durableId="109326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1NDA0szA2tDA2NTdS0lEKTi0uzszPAykwrAUA4siKOywAAAA="/>
  </w:docVars>
  <w:rsids>
    <w:rsidRoot w:val="003D4068"/>
    <w:rsid w:val="003C3BFA"/>
    <w:rsid w:val="003D4068"/>
    <w:rsid w:val="00EF3C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A5A1"/>
  <w15:chartTrackingRefBased/>
  <w15:docId w15:val="{66CBAC06-F843-4F2E-8D80-6A72211A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68"/>
    <w:rPr>
      <w:rFonts w:ascii="Times New Roman" w:hAnsi="Times New Roman"/>
      <w:sz w:val="24"/>
      <w:szCs w:val="24"/>
      <w:lang w:val="en-US"/>
    </w:rPr>
  </w:style>
  <w:style w:type="paragraph" w:styleId="Heading2">
    <w:name w:val="heading 2"/>
    <w:basedOn w:val="Header"/>
    <w:next w:val="Normal"/>
    <w:link w:val="Heading2Char"/>
    <w:uiPriority w:val="9"/>
    <w:unhideWhenUsed/>
    <w:qFormat/>
    <w:rsid w:val="003D4068"/>
    <w:pPr>
      <w:numPr>
        <w:numId w:val="2"/>
      </w:numPr>
      <w:outlineLvl w:val="1"/>
    </w:pPr>
    <w:rPr>
      <w:rFonts w:asciiTheme="minorHAnsi" w:eastAsiaTheme="minorEastAsia"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068"/>
    <w:rPr>
      <w:rFonts w:eastAsiaTheme="minorEastAsia"/>
      <w:b/>
      <w:bCs/>
      <w:color w:val="5B9BD5" w:themeColor="accent5"/>
      <w:sz w:val="24"/>
      <w:szCs w:val="24"/>
      <w:lang w:val="en-US"/>
    </w:rPr>
  </w:style>
  <w:style w:type="table" w:styleId="TableGrid">
    <w:name w:val="Table Grid"/>
    <w:basedOn w:val="TableNormal"/>
    <w:uiPriority w:val="39"/>
    <w:rsid w:val="003D406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D4068"/>
    <w:pPr>
      <w:ind w:left="720"/>
      <w:contextualSpacing/>
    </w:pPr>
    <w:rPr>
      <w:sz w:val="22"/>
      <w:szCs w:val="22"/>
      <w:lang w:val="en-IN"/>
    </w:rPr>
  </w:style>
  <w:style w:type="character" w:styleId="Hyperlink">
    <w:name w:val="Hyperlink"/>
    <w:basedOn w:val="DefaultParagraphFont"/>
    <w:uiPriority w:val="99"/>
    <w:unhideWhenUsed/>
    <w:rsid w:val="003D4068"/>
    <w:rPr>
      <w:color w:val="0563C1" w:themeColor="hyperlink"/>
      <w:u w:val="single"/>
    </w:rPr>
  </w:style>
  <w:style w:type="paragraph" w:styleId="Header">
    <w:name w:val="header"/>
    <w:basedOn w:val="Normal"/>
    <w:link w:val="HeaderChar"/>
    <w:uiPriority w:val="3"/>
    <w:unhideWhenUsed/>
    <w:rsid w:val="003D4068"/>
    <w:pPr>
      <w:tabs>
        <w:tab w:val="center" w:pos="4513"/>
        <w:tab w:val="right" w:pos="9026"/>
      </w:tabs>
      <w:spacing w:after="0"/>
    </w:pPr>
    <w:rPr>
      <w:color w:val="5B9BD5" w:themeColor="accent5"/>
    </w:rPr>
  </w:style>
  <w:style w:type="character" w:customStyle="1" w:styleId="HeaderChar">
    <w:name w:val="Header Char"/>
    <w:basedOn w:val="DefaultParagraphFont"/>
    <w:link w:val="Header"/>
    <w:uiPriority w:val="3"/>
    <w:rsid w:val="003D4068"/>
    <w:rPr>
      <w:rFonts w:ascii="Times New Roman" w:hAnsi="Times New Roman"/>
      <w:color w:val="5B9BD5" w:themeColor="accent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tharamanassociates-my.sharepoint.com/:f:/g/personal/satish_sarvada_co_in/ElISp4xA5mxAqZtfI39KZbcBat2-2wCfmQDPlV2p7mhvPQ?e=bhtYHC" TargetMode="External"/><Relationship Id="rId3" Type="http://schemas.openxmlformats.org/officeDocument/2006/relationships/settings" Target="settings.xml"/><Relationship Id="rId7" Type="http://schemas.openxmlformats.org/officeDocument/2006/relationships/hyperlink" Target="https://seetharamanassociates-my.sharepoint.com/:f:/g/personal/satish_sarvada_co_in/EhsmaM6YbO9MtGCIK0745bwBKfXe7lzicfRT4-oL8p4A1w?e=3UaO5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Gaur</dc:creator>
  <cp:keywords/>
  <dc:description/>
  <cp:lastModifiedBy>SRTEPC - Shobha Iswalkar</cp:lastModifiedBy>
  <cp:revision>2</cp:revision>
  <dcterms:created xsi:type="dcterms:W3CDTF">2023-01-13T09:28:00Z</dcterms:created>
  <dcterms:modified xsi:type="dcterms:W3CDTF">2023-01-13T09:28:00Z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69c03a-ae5c-4bce-818b-b1c015b077df_Enabled">
    <vt:lpwstr>true</vt:lpwstr>
  </property>
  <property fmtid="{D5CDD505-2E9C-101B-9397-08002B2CF9AE}" pid="3" name="MSIP_Label_3669c03a-ae5c-4bce-818b-b1c015b077df_SetDate">
    <vt:lpwstr>2022-12-27T04:50:10Z</vt:lpwstr>
  </property>
  <property fmtid="{D5CDD505-2E9C-101B-9397-08002B2CF9AE}" pid="4" name="MSIP_Label_3669c03a-ae5c-4bce-818b-b1c015b077df_Method">
    <vt:lpwstr>Privileged</vt:lpwstr>
  </property>
  <property fmtid="{D5CDD505-2E9C-101B-9397-08002B2CF9AE}" pid="5" name="MSIP_Label_3669c03a-ae5c-4bce-818b-b1c015b077df_Name">
    <vt:lpwstr>General</vt:lpwstr>
  </property>
  <property fmtid="{D5CDD505-2E9C-101B-9397-08002B2CF9AE}" pid="6" name="MSIP_Label_3669c03a-ae5c-4bce-818b-b1c015b077df_SiteId">
    <vt:lpwstr>837b0553-107a-4407-922b-5bd5ad1609d0</vt:lpwstr>
  </property>
  <property fmtid="{D5CDD505-2E9C-101B-9397-08002B2CF9AE}" pid="7" name="MSIP_Label_3669c03a-ae5c-4bce-818b-b1c015b077df_ActionId">
    <vt:lpwstr>49f15964-0d1d-441b-895b-1795e28bd545</vt:lpwstr>
  </property>
  <property fmtid="{D5CDD505-2E9C-101B-9397-08002B2CF9AE}" pid="8" name="MSIP_Label_3669c03a-ae5c-4bce-818b-b1c015b077df_ContentBits">
    <vt:lpwstr>0</vt:lpwstr>
  </property>
</Properties>
</file>